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276D5" w14:textId="040E0120" w:rsidR="00D07C27" w:rsidRDefault="00EC3D26" w:rsidP="00936441">
      <w:pPr>
        <w:pStyle w:val="Heading1"/>
        <w:ind w:right="545"/>
      </w:pPr>
      <w:r>
        <w:t xml:space="preserve">Agenda </w:t>
      </w:r>
      <w:r w:rsidR="00181D77">
        <w:t>Item 25</w:t>
      </w:r>
      <w:r>
        <w:t xml:space="preserve">: </w:t>
      </w:r>
      <w:r w:rsidR="00023E59">
        <w:t>CCWG-</w:t>
      </w:r>
      <w:r w:rsidR="00E00260">
        <w:t>Accountability</w:t>
      </w:r>
      <w:r w:rsidR="00023E59">
        <w:t xml:space="preserve"> WS2</w:t>
      </w:r>
      <w:r w:rsidR="00E00260">
        <w:t xml:space="preserve"> Update</w:t>
      </w:r>
    </w:p>
    <w:p w14:paraId="7716CEA6" w14:textId="1BB4E9E2" w:rsidR="00E00260" w:rsidRPr="00E00260" w:rsidRDefault="00E00260" w:rsidP="00D10DB6">
      <w:pPr>
        <w:pStyle w:val="Heading2"/>
        <w:rPr>
          <w:sz w:val="20"/>
          <w:szCs w:val="20"/>
        </w:rPr>
      </w:pPr>
      <w:r>
        <w:t xml:space="preserve">Note: </w:t>
      </w:r>
      <w:r w:rsidRPr="00EC3D26">
        <w:rPr>
          <w:color w:val="000000" w:themeColor="text1"/>
          <w:sz w:val="20"/>
          <w:szCs w:val="20"/>
        </w:rPr>
        <w:t>This information will need to be updated at the GAC meeting to take into account the face-to-face mee</w:t>
      </w:r>
      <w:r>
        <w:rPr>
          <w:color w:val="000000" w:themeColor="text1"/>
          <w:sz w:val="20"/>
          <w:szCs w:val="20"/>
        </w:rPr>
        <w:t>ting of the CCWG</w:t>
      </w:r>
      <w:r w:rsidR="00023E59">
        <w:rPr>
          <w:color w:val="000000" w:themeColor="text1"/>
          <w:sz w:val="20"/>
          <w:szCs w:val="20"/>
        </w:rPr>
        <w:t>-Accountability</w:t>
      </w:r>
      <w:r w:rsidR="00A92158">
        <w:rPr>
          <w:color w:val="000000" w:themeColor="text1"/>
          <w:sz w:val="20"/>
          <w:szCs w:val="20"/>
        </w:rPr>
        <w:t xml:space="preserve"> in Panama City on Sunday 24 June </w:t>
      </w:r>
      <w:r w:rsidR="00C77E9F">
        <w:rPr>
          <w:color w:val="000000" w:themeColor="text1"/>
          <w:sz w:val="20"/>
          <w:szCs w:val="20"/>
        </w:rPr>
        <w:t>2018</w:t>
      </w:r>
      <w:r>
        <w:rPr>
          <w:color w:val="000000" w:themeColor="text1"/>
          <w:sz w:val="20"/>
          <w:szCs w:val="20"/>
        </w:rPr>
        <w:t xml:space="preserve"> </w:t>
      </w:r>
      <w:r w:rsidRPr="00EC3D26">
        <w:rPr>
          <w:color w:val="000000" w:themeColor="text1"/>
          <w:sz w:val="20"/>
          <w:szCs w:val="20"/>
        </w:rPr>
        <w:t>.</w:t>
      </w:r>
    </w:p>
    <w:p w14:paraId="4ABE83AD" w14:textId="0C1E079D" w:rsidR="00E13252" w:rsidRDefault="00E13252" w:rsidP="00D10DB6">
      <w:pPr>
        <w:pStyle w:val="Heading2"/>
      </w:pPr>
      <w:r>
        <w:t>Issue</w:t>
      </w:r>
      <w:r w:rsidR="00673F9B">
        <w:t>s</w:t>
      </w:r>
    </w:p>
    <w:p w14:paraId="70D8BD1F" w14:textId="43E77599" w:rsidR="00E00260" w:rsidRDefault="00A92158" w:rsidP="00E00260">
      <w:pPr>
        <w:pStyle w:val="ListParagraph"/>
        <w:numPr>
          <w:ilvl w:val="0"/>
          <w:numId w:val="5"/>
        </w:numPr>
        <w:spacing w:before="100" w:beforeAutospacing="1" w:after="240"/>
        <w:ind w:right="545"/>
        <w:rPr>
          <w:szCs w:val="20"/>
        </w:rPr>
      </w:pPr>
      <w:r>
        <w:rPr>
          <w:szCs w:val="20"/>
        </w:rPr>
        <w:t xml:space="preserve">Reports from GAC-nominated members of </w:t>
      </w:r>
      <w:r w:rsidR="00E00260">
        <w:rPr>
          <w:szCs w:val="20"/>
        </w:rPr>
        <w:t>the CCWG</w:t>
      </w:r>
      <w:r>
        <w:rPr>
          <w:szCs w:val="20"/>
        </w:rPr>
        <w:t>-Accountability Work Stream 2 (WS2)</w:t>
      </w:r>
      <w:r w:rsidR="00E00260">
        <w:rPr>
          <w:szCs w:val="20"/>
        </w:rPr>
        <w:t>.</w:t>
      </w:r>
    </w:p>
    <w:p w14:paraId="2EEF2ED9" w14:textId="75E7E1B9" w:rsidR="00023E59" w:rsidRPr="00A92158" w:rsidRDefault="00A92158" w:rsidP="00A92158">
      <w:pPr>
        <w:pStyle w:val="ListParagraph"/>
        <w:numPr>
          <w:ilvl w:val="0"/>
          <w:numId w:val="5"/>
        </w:numPr>
        <w:spacing w:before="100" w:beforeAutospacing="1" w:after="240"/>
        <w:ind w:right="545"/>
        <w:rPr>
          <w:szCs w:val="20"/>
        </w:rPr>
      </w:pPr>
      <w:r>
        <w:rPr>
          <w:szCs w:val="20"/>
        </w:rPr>
        <w:t>CCWG WS2 Final Report and Recommendations.</w:t>
      </w:r>
    </w:p>
    <w:p w14:paraId="2FDA9BA2" w14:textId="70484D57" w:rsidR="00E00260" w:rsidRDefault="00831E94" w:rsidP="00E00260">
      <w:pPr>
        <w:pStyle w:val="ListParagraph"/>
        <w:numPr>
          <w:ilvl w:val="0"/>
          <w:numId w:val="5"/>
        </w:numPr>
        <w:spacing w:before="100" w:beforeAutospacing="1" w:after="240"/>
        <w:ind w:right="545"/>
        <w:rPr>
          <w:szCs w:val="20"/>
        </w:rPr>
      </w:pPr>
      <w:r>
        <w:rPr>
          <w:szCs w:val="20"/>
        </w:rPr>
        <w:t xml:space="preserve">GAC position as a CCWG Chartering Organisation. </w:t>
      </w:r>
    </w:p>
    <w:p w14:paraId="24811425" w14:textId="4FF6E149" w:rsidR="00B1475A" w:rsidRDefault="00B1475A" w:rsidP="00D10DB6">
      <w:pPr>
        <w:pStyle w:val="Heading2"/>
      </w:pPr>
      <w:r>
        <w:t>GAC Action Required</w:t>
      </w:r>
    </w:p>
    <w:p w14:paraId="0A3A4541" w14:textId="000C5F61" w:rsidR="00D34405" w:rsidRPr="00367D10" w:rsidRDefault="00E00260" w:rsidP="00367D10">
      <w:pPr>
        <w:pStyle w:val="BodyText"/>
        <w:numPr>
          <w:ilvl w:val="0"/>
          <w:numId w:val="16"/>
        </w:numPr>
        <w:ind w:right="545"/>
        <w:rPr>
          <w:b/>
          <w:color w:val="2E74B5" w:themeColor="accent1" w:themeShade="BF"/>
        </w:rPr>
      </w:pPr>
      <w:r w:rsidRPr="00367D10">
        <w:rPr>
          <w:b/>
          <w:color w:val="2E74B5" w:themeColor="accent1" w:themeShade="BF"/>
        </w:rPr>
        <w:t>Reports from GAC members</w:t>
      </w:r>
    </w:p>
    <w:p w14:paraId="0E2B3024" w14:textId="7239B86A" w:rsidR="00C40474" w:rsidRDefault="00C40474" w:rsidP="00C40474">
      <w:pPr>
        <w:pStyle w:val="BodyText"/>
        <w:ind w:right="545"/>
      </w:pPr>
      <w:r>
        <w:t>It has been the practice at recent GAC me</w:t>
      </w:r>
      <w:r w:rsidR="00A92158">
        <w:t xml:space="preserve">etings to hear reports from GAC-nominated </w:t>
      </w:r>
      <w:r>
        <w:t>members</w:t>
      </w:r>
      <w:r w:rsidR="00A92158">
        <w:t xml:space="preserve"> of </w:t>
      </w:r>
      <w:r>
        <w:t>the CC</w:t>
      </w:r>
      <w:r w:rsidR="00A92158">
        <w:t xml:space="preserve">WG. Inter-sessional reports have been </w:t>
      </w:r>
      <w:r>
        <w:t>prepared and sent to the GAC by the ACIG GAC Secretariat.</w:t>
      </w:r>
    </w:p>
    <w:p w14:paraId="29E29033" w14:textId="27AC6DA6" w:rsidR="00C40474" w:rsidRDefault="00C40474" w:rsidP="00C40474">
      <w:pPr>
        <w:pStyle w:val="BodyText"/>
        <w:ind w:right="545"/>
      </w:pPr>
      <w:r>
        <w:t xml:space="preserve">The GAC nominees to the CCWG are: Argentina, Brazil, Canada, Denmark, and Iran. </w:t>
      </w:r>
    </w:p>
    <w:p w14:paraId="1567A125" w14:textId="05040222" w:rsidR="00831E94" w:rsidRPr="00367D10" w:rsidRDefault="00A92158" w:rsidP="00367D10">
      <w:pPr>
        <w:pStyle w:val="BodyText"/>
        <w:numPr>
          <w:ilvl w:val="0"/>
          <w:numId w:val="16"/>
        </w:numPr>
        <w:ind w:right="545"/>
        <w:rPr>
          <w:b/>
          <w:color w:val="2E74B5" w:themeColor="accent1" w:themeShade="BF"/>
        </w:rPr>
      </w:pPr>
      <w:r w:rsidRPr="00367D10">
        <w:rPr>
          <w:b/>
          <w:color w:val="2E74B5" w:themeColor="accent1" w:themeShade="BF"/>
        </w:rPr>
        <w:t>Draft Final Report and Recommendations</w:t>
      </w:r>
    </w:p>
    <w:p w14:paraId="2F010AA4" w14:textId="62080976" w:rsidR="001D64DD" w:rsidRDefault="00A92158" w:rsidP="00A92158">
      <w:pPr>
        <w:pStyle w:val="BodyText"/>
        <w:ind w:right="545"/>
      </w:pPr>
      <w:r>
        <w:t xml:space="preserve">The CCWG posted its </w:t>
      </w:r>
      <w:hyperlink r:id="rId8" w:history="1">
        <w:r w:rsidRPr="00265F90">
          <w:rPr>
            <w:rStyle w:val="Hyperlink"/>
          </w:rPr>
          <w:t>Final Report</w:t>
        </w:r>
      </w:hyperlink>
      <w:r>
        <w:t xml:space="preserve">, including recommendations, for public comment from 30 March to 11 May 2018. </w:t>
      </w:r>
      <w:r w:rsidR="00367D10">
        <w:t xml:space="preserve">In theory this was limited to identifying inconsistencies across the recommendations. </w:t>
      </w:r>
      <w:r w:rsidR="00A10D81">
        <w:t xml:space="preserve">This was because </w:t>
      </w:r>
      <w:r w:rsidR="00367D10">
        <w:t xml:space="preserve">the CCWG cannot reopen substantive issues </w:t>
      </w:r>
      <w:r w:rsidR="002A182A">
        <w:t xml:space="preserve">as it must </w:t>
      </w:r>
      <w:r w:rsidR="00367D10">
        <w:t>finalise its work by June 2018.</w:t>
      </w:r>
    </w:p>
    <w:p w14:paraId="7CA01744" w14:textId="2AED4177" w:rsidR="00D97BFC" w:rsidRDefault="00D97BFC" w:rsidP="00A92158">
      <w:pPr>
        <w:pStyle w:val="BodyText"/>
        <w:ind w:right="545"/>
      </w:pPr>
      <w:r>
        <w:t>One GAC member (France) submitted public comments on diversity and jurisdiction.</w:t>
      </w:r>
    </w:p>
    <w:p w14:paraId="6AF533F1" w14:textId="7712FF68" w:rsidR="00D97BFC" w:rsidRDefault="00D97BFC" w:rsidP="00A92158">
      <w:pPr>
        <w:pStyle w:val="BodyText"/>
        <w:ind w:right="545"/>
      </w:pPr>
      <w:r>
        <w:t>The ICANN Board has concerns about some recommendations. At th</w:t>
      </w:r>
      <w:r w:rsidR="00E15156">
        <w:t xml:space="preserve">e time of preparing this brief these </w:t>
      </w:r>
      <w:r>
        <w:t>were still being d</w:t>
      </w:r>
      <w:r w:rsidR="000D1296">
        <w:t>iscussed with the CCWG Co-Chairs</w:t>
      </w:r>
      <w:r w:rsidR="00E15156">
        <w:t>. The aim is to develop</w:t>
      </w:r>
      <w:r w:rsidR="000D1296">
        <w:t xml:space="preserve"> “implementation guidance” to address the Board’s concerns without changing the recommendations</w:t>
      </w:r>
      <w:r>
        <w:t>.</w:t>
      </w:r>
    </w:p>
    <w:p w14:paraId="67BBBBA0" w14:textId="070963C3" w:rsidR="00367D10" w:rsidRDefault="00A10D81" w:rsidP="00A92158">
      <w:pPr>
        <w:pStyle w:val="BodyText"/>
        <w:ind w:right="545"/>
      </w:pPr>
      <w:r>
        <w:t xml:space="preserve">The situation with the recommendations as agreed by the CCWG </w:t>
      </w:r>
      <w:r w:rsidR="000D1296">
        <w:t xml:space="preserve">and posted for public comment </w:t>
      </w:r>
      <w:r>
        <w:t>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A10D81" w14:paraId="2A4359DC" w14:textId="77777777" w:rsidTr="000D1296">
        <w:tc>
          <w:tcPr>
            <w:tcW w:w="4803" w:type="dxa"/>
            <w:shd w:val="clear" w:color="auto" w:fill="BDD6EE" w:themeFill="accent1" w:themeFillTint="66"/>
          </w:tcPr>
          <w:p w14:paraId="2FEF778B" w14:textId="007D909A" w:rsidR="00A10D81" w:rsidRPr="000D1296" w:rsidRDefault="00D97BFC" w:rsidP="00A92158">
            <w:pPr>
              <w:pStyle w:val="BodyText"/>
              <w:ind w:right="545"/>
              <w:rPr>
                <w:b/>
                <w:color w:val="000000" w:themeColor="text1"/>
              </w:rPr>
            </w:pPr>
            <w:r w:rsidRPr="000D1296">
              <w:rPr>
                <w:b/>
                <w:color w:val="000000" w:themeColor="text1"/>
              </w:rPr>
              <w:t>Recommendation</w:t>
            </w:r>
          </w:p>
        </w:tc>
        <w:tc>
          <w:tcPr>
            <w:tcW w:w="4804" w:type="dxa"/>
            <w:shd w:val="clear" w:color="auto" w:fill="BDD6EE" w:themeFill="accent1" w:themeFillTint="66"/>
          </w:tcPr>
          <w:p w14:paraId="10C9D6D5" w14:textId="4C802992" w:rsidR="00A10D81" w:rsidRPr="000D1296" w:rsidRDefault="00D97BFC" w:rsidP="00A92158">
            <w:pPr>
              <w:pStyle w:val="BodyText"/>
              <w:ind w:right="545"/>
              <w:rPr>
                <w:b/>
                <w:color w:val="000000" w:themeColor="text1"/>
              </w:rPr>
            </w:pPr>
            <w:r w:rsidRPr="000D1296">
              <w:rPr>
                <w:b/>
                <w:color w:val="000000" w:themeColor="text1"/>
              </w:rPr>
              <w:t>Comment</w:t>
            </w:r>
          </w:p>
        </w:tc>
      </w:tr>
      <w:tr w:rsidR="001A541E" w14:paraId="7268EB83" w14:textId="77777777" w:rsidTr="00A10D81">
        <w:tc>
          <w:tcPr>
            <w:tcW w:w="4803" w:type="dxa"/>
          </w:tcPr>
          <w:p w14:paraId="13F94156" w14:textId="3FE29C2F" w:rsidR="001A541E" w:rsidRPr="002A182A" w:rsidRDefault="001A541E" w:rsidP="00A92158">
            <w:pPr>
              <w:pStyle w:val="BodyText"/>
              <w:ind w:right="545"/>
              <w:rPr>
                <w:b/>
              </w:rPr>
            </w:pPr>
            <w:r w:rsidRPr="002A182A">
              <w:rPr>
                <w:b/>
              </w:rPr>
              <w:t>Report and all Recommendations</w:t>
            </w:r>
          </w:p>
        </w:tc>
        <w:tc>
          <w:tcPr>
            <w:tcW w:w="4804" w:type="dxa"/>
          </w:tcPr>
          <w:p w14:paraId="5C4C33B7" w14:textId="7FCCA3D2" w:rsidR="001A541E" w:rsidRDefault="001A541E" w:rsidP="00A92158">
            <w:pPr>
              <w:pStyle w:val="BodyText"/>
              <w:ind w:right="545"/>
            </w:pPr>
            <w:r>
              <w:t>The GAC has not agreed on any consensus input. Some GAC members have made submissions to public comment processes and argued individual views at the CCWG working level.</w:t>
            </w:r>
          </w:p>
        </w:tc>
      </w:tr>
      <w:tr w:rsidR="00A10D81" w14:paraId="129D9BD8" w14:textId="77777777" w:rsidTr="00A10D81">
        <w:tc>
          <w:tcPr>
            <w:tcW w:w="4803" w:type="dxa"/>
          </w:tcPr>
          <w:p w14:paraId="31990C05" w14:textId="77777777" w:rsidR="00A10D81" w:rsidRPr="00481C0C" w:rsidRDefault="00D97BFC" w:rsidP="00A92158">
            <w:pPr>
              <w:pStyle w:val="BodyText"/>
              <w:ind w:right="545"/>
              <w:rPr>
                <w:b/>
              </w:rPr>
            </w:pPr>
            <w:r w:rsidRPr="00481C0C">
              <w:rPr>
                <w:b/>
              </w:rPr>
              <w:t>Diversity</w:t>
            </w:r>
          </w:p>
          <w:p w14:paraId="576EE518" w14:textId="77777777" w:rsidR="00481C0C" w:rsidRDefault="00481C0C" w:rsidP="00481C0C">
            <w:pPr>
              <w:pStyle w:val="BodyText"/>
              <w:numPr>
                <w:ilvl w:val="0"/>
                <w:numId w:val="14"/>
              </w:numPr>
              <w:ind w:right="545"/>
            </w:pPr>
            <w:r>
              <w:lastRenderedPageBreak/>
              <w:t>An agreed definition of diversity to apply across ICANN.</w:t>
            </w:r>
          </w:p>
          <w:p w14:paraId="5457BC48" w14:textId="77777777" w:rsidR="00481C0C" w:rsidRDefault="00481C0C" w:rsidP="00481C0C">
            <w:pPr>
              <w:pStyle w:val="BodyText"/>
              <w:numPr>
                <w:ilvl w:val="0"/>
                <w:numId w:val="14"/>
              </w:numPr>
              <w:ind w:right="545"/>
            </w:pPr>
            <w:r>
              <w:t>SOs/ACs to review and publish their own initiatives to enhance internal diversity, supported by ICANN Org as appropriate.</w:t>
            </w:r>
          </w:p>
          <w:p w14:paraId="74DB1467" w14:textId="3D925379" w:rsidR="00481C0C" w:rsidRDefault="00481C0C" w:rsidP="00A92158">
            <w:pPr>
              <w:pStyle w:val="BodyText"/>
              <w:ind w:right="545"/>
            </w:pPr>
          </w:p>
        </w:tc>
        <w:tc>
          <w:tcPr>
            <w:tcW w:w="4804" w:type="dxa"/>
          </w:tcPr>
          <w:p w14:paraId="5D1293AB" w14:textId="77777777" w:rsidR="00A10D81" w:rsidRDefault="000D1296" w:rsidP="00A92158">
            <w:pPr>
              <w:pStyle w:val="BodyText"/>
              <w:ind w:right="545"/>
            </w:pPr>
            <w:r w:rsidRPr="001A541E">
              <w:rPr>
                <w:b/>
              </w:rPr>
              <w:lastRenderedPageBreak/>
              <w:t>France</w:t>
            </w:r>
            <w:r>
              <w:t xml:space="preserve">: </w:t>
            </w:r>
            <w:r w:rsidR="00E15156">
              <w:t xml:space="preserve">The French Government regrets that the proposal for the establishment of </w:t>
            </w:r>
            <w:r w:rsidR="00E15156">
              <w:lastRenderedPageBreak/>
              <w:t>an “Office of Diversity”, the main concrete and ambitious tool for improving diversity within ICANN, was not included in the CWG recommendations.</w:t>
            </w:r>
          </w:p>
          <w:p w14:paraId="13AA9833" w14:textId="73EF6E0D" w:rsidR="00E15156" w:rsidRDefault="00E15156" w:rsidP="00A92158">
            <w:pPr>
              <w:pStyle w:val="BodyText"/>
              <w:ind w:right="545"/>
            </w:pPr>
            <w:r>
              <w:t>The diversity sub-group proposals contain several advances</w:t>
            </w:r>
            <w:r w:rsidR="006B7BEC">
              <w:t>, including a multi-dimensional definition of diversity, regularly published data and a system for the community to query ICANN on progress in diversity.</w:t>
            </w:r>
            <w:r w:rsidR="006B7BEC">
              <w:rPr>
                <w:rStyle w:val="FootnoteReference"/>
              </w:rPr>
              <w:footnoteReference w:id="1"/>
            </w:r>
          </w:p>
        </w:tc>
      </w:tr>
      <w:tr w:rsidR="00A10D81" w14:paraId="11AE53A9" w14:textId="77777777" w:rsidTr="00A10D81">
        <w:tc>
          <w:tcPr>
            <w:tcW w:w="4803" w:type="dxa"/>
          </w:tcPr>
          <w:p w14:paraId="4370739A" w14:textId="650B038A" w:rsidR="00A10D81" w:rsidRPr="002A182A" w:rsidRDefault="00D97BFC" w:rsidP="00A92158">
            <w:pPr>
              <w:pStyle w:val="BodyText"/>
              <w:ind w:right="545"/>
              <w:rPr>
                <w:b/>
              </w:rPr>
            </w:pPr>
            <w:r w:rsidRPr="002A182A">
              <w:rPr>
                <w:b/>
              </w:rPr>
              <w:lastRenderedPageBreak/>
              <w:t>Guidelines for good faith conduct in removing individual Board members</w:t>
            </w:r>
          </w:p>
        </w:tc>
        <w:tc>
          <w:tcPr>
            <w:tcW w:w="4804" w:type="dxa"/>
          </w:tcPr>
          <w:p w14:paraId="4C0FB562" w14:textId="278D0335" w:rsidR="00A10D81" w:rsidRDefault="001A541E" w:rsidP="00A92158">
            <w:pPr>
              <w:pStyle w:val="BodyText"/>
              <w:ind w:right="545"/>
            </w:pPr>
            <w:r>
              <w:t>No GAC discussion.</w:t>
            </w:r>
          </w:p>
        </w:tc>
      </w:tr>
      <w:tr w:rsidR="00A10D81" w14:paraId="158A80C0" w14:textId="77777777" w:rsidTr="00A10D81">
        <w:tc>
          <w:tcPr>
            <w:tcW w:w="4803" w:type="dxa"/>
          </w:tcPr>
          <w:p w14:paraId="5FA1C6D2" w14:textId="77777777" w:rsidR="00A10D81" w:rsidRPr="00E838B6" w:rsidRDefault="00D97BFC" w:rsidP="00A92158">
            <w:pPr>
              <w:pStyle w:val="BodyText"/>
              <w:ind w:right="545"/>
              <w:rPr>
                <w:b/>
              </w:rPr>
            </w:pPr>
            <w:r w:rsidRPr="00E838B6">
              <w:rPr>
                <w:b/>
              </w:rPr>
              <w:t>Human Rights Framework of Interpretation</w:t>
            </w:r>
          </w:p>
          <w:p w14:paraId="67CC32D0" w14:textId="1BBCB75B" w:rsidR="00481C0C" w:rsidRDefault="00E838B6" w:rsidP="00A92158">
            <w:pPr>
              <w:pStyle w:val="BodyText"/>
              <w:numPr>
                <w:ilvl w:val="0"/>
                <w:numId w:val="15"/>
              </w:numPr>
              <w:ind w:right="545"/>
            </w:pPr>
            <w:r>
              <w:t>ICANN to apply a Proposed Framework of Interpretation and Considerations concerning ICANN’s Human Rights Bylaw.</w:t>
            </w:r>
          </w:p>
        </w:tc>
        <w:tc>
          <w:tcPr>
            <w:tcW w:w="4804" w:type="dxa"/>
          </w:tcPr>
          <w:p w14:paraId="1FC64D26" w14:textId="19864B13" w:rsidR="00A10D81" w:rsidRDefault="001A541E" w:rsidP="00A92158">
            <w:pPr>
              <w:pStyle w:val="BodyText"/>
              <w:ind w:right="545"/>
            </w:pPr>
            <w:r>
              <w:t>No substantive GAC discussion.</w:t>
            </w:r>
          </w:p>
        </w:tc>
      </w:tr>
      <w:tr w:rsidR="00A10D81" w14:paraId="5E01705A" w14:textId="77777777" w:rsidTr="00A10D81">
        <w:tc>
          <w:tcPr>
            <w:tcW w:w="4803" w:type="dxa"/>
          </w:tcPr>
          <w:p w14:paraId="6B64FF36" w14:textId="77777777" w:rsidR="00A10D81" w:rsidRPr="00481C0C" w:rsidRDefault="00D97BFC" w:rsidP="00A92158">
            <w:pPr>
              <w:pStyle w:val="BodyText"/>
              <w:ind w:right="545"/>
              <w:rPr>
                <w:b/>
              </w:rPr>
            </w:pPr>
            <w:r w:rsidRPr="00481C0C">
              <w:rPr>
                <w:b/>
              </w:rPr>
              <w:t>Jurisdiction</w:t>
            </w:r>
          </w:p>
          <w:p w14:paraId="00A082A5" w14:textId="77777777" w:rsidR="00481C0C" w:rsidRDefault="00481C0C" w:rsidP="00481C0C">
            <w:pPr>
              <w:pStyle w:val="BodyText"/>
              <w:numPr>
                <w:ilvl w:val="0"/>
                <w:numId w:val="13"/>
              </w:numPr>
              <w:ind w:right="545"/>
            </w:pPr>
            <w:r>
              <w:t>ICANN to be pro-active in facilitating OFAC licenses.</w:t>
            </w:r>
          </w:p>
          <w:p w14:paraId="28C0AE63" w14:textId="605BC2AF" w:rsidR="00481C0C" w:rsidRDefault="00481C0C" w:rsidP="00481C0C">
            <w:pPr>
              <w:pStyle w:val="BodyText"/>
              <w:numPr>
                <w:ilvl w:val="0"/>
                <w:numId w:val="13"/>
              </w:numPr>
              <w:ind w:right="545"/>
            </w:pPr>
            <w:r>
              <w:t>A “menu” approach to enable parties to ICANN agreements to choose the governing law before executing a contract is supported; although there are other options.</w:t>
            </w:r>
          </w:p>
          <w:p w14:paraId="7D7A0656" w14:textId="414EA1C3" w:rsidR="00481C0C" w:rsidRDefault="00481C0C" w:rsidP="00A92158">
            <w:pPr>
              <w:pStyle w:val="BodyText"/>
              <w:ind w:right="545"/>
            </w:pPr>
          </w:p>
        </w:tc>
        <w:tc>
          <w:tcPr>
            <w:tcW w:w="4804" w:type="dxa"/>
          </w:tcPr>
          <w:p w14:paraId="3C8CBD87" w14:textId="6428CAFC" w:rsidR="00A10D81" w:rsidRDefault="000D1296" w:rsidP="00A92158">
            <w:pPr>
              <w:pStyle w:val="BodyText"/>
              <w:ind w:right="545"/>
            </w:pPr>
            <w:r w:rsidRPr="001A541E">
              <w:rPr>
                <w:b/>
              </w:rPr>
              <w:t>France</w:t>
            </w:r>
            <w:r>
              <w:t>: Taking into account the strong disagreements within the sub-group, the French Government encourages the sub-group’s members to explore new</w:t>
            </w:r>
            <w:r w:rsidR="00927979">
              <w:t xml:space="preserve"> paths to introduce immunities, including partial immunities, from jurisdiction </w:t>
            </w:r>
            <w:r w:rsidR="0045612A">
              <w:t>in order to ensure its independence and accountability to all of the international Internet community.</w:t>
            </w:r>
            <w:r w:rsidR="00927979">
              <w:rPr>
                <w:rStyle w:val="FootnoteReference"/>
              </w:rPr>
              <w:footnoteReference w:id="2"/>
            </w:r>
          </w:p>
          <w:p w14:paraId="4D52011C" w14:textId="2B7EF4AA" w:rsidR="00927979" w:rsidRDefault="00927979" w:rsidP="00A92158">
            <w:pPr>
              <w:pStyle w:val="BodyText"/>
              <w:ind w:right="545"/>
            </w:pPr>
            <w:r w:rsidRPr="001A541E">
              <w:rPr>
                <w:b/>
              </w:rPr>
              <w:t>Brazil</w:t>
            </w:r>
            <w:r>
              <w:t xml:space="preserve">: </w:t>
            </w:r>
            <w:r w:rsidR="00E15156">
              <w:t>Sufficient time should be available to the GAC to discuss the recommendations on jurisdiction and reach a position if possible.</w:t>
            </w:r>
            <w:r w:rsidR="00E15156">
              <w:rPr>
                <w:rStyle w:val="FootnoteReference"/>
              </w:rPr>
              <w:footnoteReference w:id="3"/>
            </w:r>
          </w:p>
        </w:tc>
      </w:tr>
      <w:tr w:rsidR="00A10D81" w14:paraId="3AEE549B" w14:textId="77777777" w:rsidTr="00A10D81">
        <w:tc>
          <w:tcPr>
            <w:tcW w:w="4803" w:type="dxa"/>
          </w:tcPr>
          <w:p w14:paraId="78401D16" w14:textId="4B12F40D" w:rsidR="00A10D81" w:rsidRPr="002A182A" w:rsidRDefault="00D97BFC" w:rsidP="00A92158">
            <w:pPr>
              <w:pStyle w:val="BodyText"/>
              <w:ind w:right="545"/>
              <w:rPr>
                <w:b/>
              </w:rPr>
            </w:pPr>
            <w:r w:rsidRPr="002A182A">
              <w:rPr>
                <w:b/>
              </w:rPr>
              <w:t>ICANN Ombudsman</w:t>
            </w:r>
          </w:p>
        </w:tc>
        <w:tc>
          <w:tcPr>
            <w:tcW w:w="4804" w:type="dxa"/>
          </w:tcPr>
          <w:p w14:paraId="4EA8C084" w14:textId="51C81E47" w:rsidR="00A10D81" w:rsidRDefault="001A541E" w:rsidP="00A92158">
            <w:pPr>
              <w:pStyle w:val="BodyText"/>
              <w:ind w:right="545"/>
            </w:pPr>
            <w:r>
              <w:t>No substantive GAC discussion.</w:t>
            </w:r>
          </w:p>
        </w:tc>
      </w:tr>
      <w:tr w:rsidR="00A10D81" w14:paraId="131598E2" w14:textId="77777777" w:rsidTr="00A10D81">
        <w:tc>
          <w:tcPr>
            <w:tcW w:w="4803" w:type="dxa"/>
          </w:tcPr>
          <w:p w14:paraId="398EB55E" w14:textId="26A70DCD" w:rsidR="00A10D81" w:rsidRPr="00481C0C" w:rsidRDefault="00D97BFC" w:rsidP="00A92158">
            <w:pPr>
              <w:pStyle w:val="BodyText"/>
              <w:ind w:right="545"/>
              <w:rPr>
                <w:b/>
              </w:rPr>
            </w:pPr>
            <w:r w:rsidRPr="00481C0C">
              <w:rPr>
                <w:b/>
              </w:rPr>
              <w:t>SO/AC Accountability</w:t>
            </w:r>
          </w:p>
          <w:p w14:paraId="32D096C4" w14:textId="4EDEA511" w:rsidR="00481C0C" w:rsidRDefault="00481C0C" w:rsidP="00481C0C">
            <w:pPr>
              <w:pStyle w:val="BodyText"/>
              <w:numPr>
                <w:ilvl w:val="0"/>
                <w:numId w:val="15"/>
              </w:numPr>
              <w:ind w:right="545"/>
            </w:pPr>
            <w:r>
              <w:t xml:space="preserve">SOs/ACs to implement recommended good practices (where applicable to their structure and purpose) with regard to Accountability, Transparency, Participation, Outreach </w:t>
            </w:r>
            <w:r w:rsidR="00E838B6">
              <w:t>and Updates</w:t>
            </w:r>
            <w:r>
              <w:t xml:space="preserve"> to rules and procedures.</w:t>
            </w:r>
          </w:p>
          <w:p w14:paraId="6430912D" w14:textId="68F5D239" w:rsidR="00481C0C" w:rsidRDefault="00481C0C" w:rsidP="00A92158">
            <w:pPr>
              <w:pStyle w:val="BodyText"/>
              <w:ind w:right="545"/>
            </w:pPr>
          </w:p>
        </w:tc>
        <w:tc>
          <w:tcPr>
            <w:tcW w:w="4804" w:type="dxa"/>
          </w:tcPr>
          <w:p w14:paraId="363E6781" w14:textId="369B0A3E" w:rsidR="00A10D81" w:rsidRDefault="002B5CC4" w:rsidP="00A92158">
            <w:pPr>
              <w:pStyle w:val="BodyText"/>
              <w:ind w:right="545"/>
            </w:pPr>
            <w:r>
              <w:lastRenderedPageBreak/>
              <w:t>No substantive GAC discussion.</w:t>
            </w:r>
          </w:p>
        </w:tc>
      </w:tr>
      <w:tr w:rsidR="00A10D81" w14:paraId="10C269E3" w14:textId="77777777" w:rsidTr="00A10D81">
        <w:tc>
          <w:tcPr>
            <w:tcW w:w="4803" w:type="dxa"/>
          </w:tcPr>
          <w:p w14:paraId="3E96C17C" w14:textId="7E294E4F" w:rsidR="00A10D81" w:rsidRPr="002A182A" w:rsidRDefault="00481C0C" w:rsidP="00A92158">
            <w:pPr>
              <w:pStyle w:val="BodyText"/>
              <w:ind w:right="545"/>
              <w:rPr>
                <w:b/>
              </w:rPr>
            </w:pPr>
            <w:r w:rsidRPr="002A182A">
              <w:rPr>
                <w:b/>
              </w:rPr>
              <w:t xml:space="preserve">Staff </w:t>
            </w:r>
            <w:r w:rsidR="00D97BFC" w:rsidRPr="002A182A">
              <w:rPr>
                <w:b/>
              </w:rPr>
              <w:t>accountability</w:t>
            </w:r>
          </w:p>
        </w:tc>
        <w:tc>
          <w:tcPr>
            <w:tcW w:w="4804" w:type="dxa"/>
          </w:tcPr>
          <w:p w14:paraId="38899268" w14:textId="6A121DB3" w:rsidR="00A10D81" w:rsidRDefault="001A541E" w:rsidP="00A92158">
            <w:pPr>
              <w:pStyle w:val="BodyText"/>
              <w:ind w:right="545"/>
            </w:pPr>
            <w:r>
              <w:t>No GAC discussion.</w:t>
            </w:r>
          </w:p>
        </w:tc>
      </w:tr>
      <w:tr w:rsidR="00A10D81" w14:paraId="16710921" w14:textId="77777777" w:rsidTr="00A10D81">
        <w:tc>
          <w:tcPr>
            <w:tcW w:w="4803" w:type="dxa"/>
          </w:tcPr>
          <w:p w14:paraId="681053DA" w14:textId="71C9326F" w:rsidR="00A10D81" w:rsidRPr="00481C0C" w:rsidRDefault="00D97BFC" w:rsidP="00A92158">
            <w:pPr>
              <w:pStyle w:val="BodyText"/>
              <w:ind w:right="545"/>
              <w:rPr>
                <w:b/>
              </w:rPr>
            </w:pPr>
            <w:r w:rsidRPr="00481C0C">
              <w:rPr>
                <w:b/>
              </w:rPr>
              <w:t>ICANN transparency</w:t>
            </w:r>
          </w:p>
          <w:p w14:paraId="38969D45" w14:textId="77777777" w:rsidR="00481C0C" w:rsidRDefault="00481C0C" w:rsidP="00481C0C">
            <w:pPr>
              <w:pStyle w:val="BodyText"/>
              <w:numPr>
                <w:ilvl w:val="0"/>
                <w:numId w:val="15"/>
              </w:numPr>
              <w:ind w:right="545"/>
            </w:pPr>
            <w:r>
              <w:t>ICANN to regularly and publicly disclose its interaction with governments.</w:t>
            </w:r>
          </w:p>
          <w:p w14:paraId="0D64F598" w14:textId="1A2FC57A" w:rsidR="00481C0C" w:rsidRDefault="00481C0C" w:rsidP="00A92158">
            <w:pPr>
              <w:pStyle w:val="BodyText"/>
              <w:numPr>
                <w:ilvl w:val="0"/>
                <w:numId w:val="15"/>
              </w:numPr>
              <w:ind w:right="545"/>
            </w:pPr>
            <w:r>
              <w:t>ICANN to improve its information disclosure and whistleblower arrangements.</w:t>
            </w:r>
          </w:p>
        </w:tc>
        <w:tc>
          <w:tcPr>
            <w:tcW w:w="4804" w:type="dxa"/>
          </w:tcPr>
          <w:p w14:paraId="752E90AC" w14:textId="320E5418" w:rsidR="00A10D81" w:rsidRDefault="002B5CC4" w:rsidP="00A92158">
            <w:pPr>
              <w:pStyle w:val="BodyText"/>
              <w:ind w:right="545"/>
            </w:pPr>
            <w:r>
              <w:t xml:space="preserve">No </w:t>
            </w:r>
            <w:r w:rsidR="001A541E">
              <w:t>GAC discussion.</w:t>
            </w:r>
          </w:p>
        </w:tc>
      </w:tr>
    </w:tbl>
    <w:p w14:paraId="565591CE" w14:textId="5CC3E9BD" w:rsidR="001D64DD" w:rsidRDefault="001D64DD" w:rsidP="001D64DD">
      <w:pPr>
        <w:pStyle w:val="BodyText"/>
        <w:ind w:right="545"/>
      </w:pPr>
    </w:p>
    <w:p w14:paraId="084AABDB" w14:textId="3A95B1FA" w:rsidR="001D64DD" w:rsidRPr="001A541E" w:rsidRDefault="00E00260" w:rsidP="001A541E">
      <w:pPr>
        <w:pStyle w:val="BodyText"/>
        <w:numPr>
          <w:ilvl w:val="0"/>
          <w:numId w:val="16"/>
        </w:numPr>
        <w:ind w:right="545"/>
        <w:rPr>
          <w:b/>
          <w:color w:val="2E74B5" w:themeColor="accent1" w:themeShade="BF"/>
        </w:rPr>
      </w:pPr>
      <w:r w:rsidRPr="001A541E">
        <w:rPr>
          <w:b/>
          <w:color w:val="2E74B5" w:themeColor="accent1" w:themeShade="BF"/>
        </w:rPr>
        <w:t xml:space="preserve">GAC positon as a Chartering Organisation of the CCWG </w:t>
      </w:r>
    </w:p>
    <w:p w14:paraId="5171B0E4" w14:textId="698FDF6F" w:rsidR="00352E3D" w:rsidRDefault="007F0696" w:rsidP="00352E3D">
      <w:pPr>
        <w:pStyle w:val="BodyText"/>
        <w:ind w:right="545"/>
      </w:pPr>
      <w:r>
        <w:t xml:space="preserve">The GAC </w:t>
      </w:r>
      <w:r w:rsidR="00E5754C">
        <w:t xml:space="preserve">(together with other SOs/ACs) </w:t>
      </w:r>
      <w:r>
        <w:t>is a Charter</w:t>
      </w:r>
      <w:r w:rsidR="00E5754C">
        <w:t xml:space="preserve">ing Organisation of this CCWG. The </w:t>
      </w:r>
      <w:hyperlink r:id="rId9" w:history="1">
        <w:r w:rsidR="00E5754C" w:rsidRPr="00E5754C">
          <w:rPr>
            <w:rStyle w:val="Hyperlink"/>
          </w:rPr>
          <w:t>Charter</w:t>
        </w:r>
      </w:hyperlink>
      <w:r w:rsidR="00E5754C">
        <w:t xml:space="preserve"> provides that: </w:t>
      </w:r>
      <w:r w:rsidR="00E5754C" w:rsidRPr="00E5754C">
        <w:rPr>
          <w:i/>
        </w:rPr>
        <w:t>“…each of the chartering organisations shall, in accordance with their own rules and procedures, review and discuss the Draft Proposal(s) and decide whether to adopt the recommendations contained in it.”</w:t>
      </w:r>
    </w:p>
    <w:p w14:paraId="59B41F0B" w14:textId="4AC105B8" w:rsidR="00352E3D" w:rsidRDefault="00F80CBA" w:rsidP="00352E3D">
      <w:pPr>
        <w:pStyle w:val="BodyText"/>
        <w:ind w:right="545"/>
      </w:pPr>
      <w:r>
        <w:t>The GAC has a number of possible options for responding:</w:t>
      </w:r>
    </w:p>
    <w:p w14:paraId="6A052E3F" w14:textId="089BCF3B" w:rsidR="00E5754C" w:rsidRDefault="00E5754C" w:rsidP="00E5754C">
      <w:pPr>
        <w:pStyle w:val="BodyText"/>
        <w:numPr>
          <w:ilvl w:val="0"/>
          <w:numId w:val="18"/>
        </w:numPr>
        <w:ind w:right="545"/>
      </w:pPr>
      <w:r>
        <w:t>Support adoption of all of the recommendations.</w:t>
      </w:r>
    </w:p>
    <w:p w14:paraId="5C69C0FB" w14:textId="14571A6B" w:rsidR="00E5754C" w:rsidRDefault="00E5754C" w:rsidP="00E5754C">
      <w:pPr>
        <w:pStyle w:val="BodyText"/>
        <w:numPr>
          <w:ilvl w:val="0"/>
          <w:numId w:val="18"/>
        </w:numPr>
        <w:ind w:right="545"/>
      </w:pPr>
      <w:r>
        <w:t>Indicate specific areas of disagreement and propose alternatives. This could include, for example, particular issues to be addressed as part of the implementation process; and/or continuing review of contentious issues in another (perhaps simpler and less resource-intensive) forum.</w:t>
      </w:r>
    </w:p>
    <w:p w14:paraId="412A8102" w14:textId="62D48028" w:rsidR="00F80CBA" w:rsidRDefault="007F0696" w:rsidP="00E5754C">
      <w:pPr>
        <w:pStyle w:val="BodyText"/>
        <w:numPr>
          <w:ilvl w:val="0"/>
          <w:numId w:val="18"/>
        </w:numPr>
        <w:ind w:right="545"/>
      </w:pPr>
      <w:r>
        <w:t xml:space="preserve">For the CCWG Work Stream 1 recommendations, the GAC expressed its position as: </w:t>
      </w:r>
      <w:r w:rsidR="00E5754C" w:rsidRPr="00E5754C">
        <w:rPr>
          <w:i/>
        </w:rPr>
        <w:t>“</w:t>
      </w:r>
      <w:r w:rsidRPr="00E5754C">
        <w:rPr>
          <w:i/>
        </w:rPr>
        <w:t>While there are delegations that have expressed support for the proposal, there were other delegations that were not in a position to endorse the proposal as a whole. In spite of this difference of opinions, the GAC has no objection to the transmission of the proposal to the ICANN Board.</w:t>
      </w:r>
      <w:r w:rsidR="00E5754C" w:rsidRPr="00E5754C">
        <w:rPr>
          <w:i/>
        </w:rPr>
        <w:t>”</w:t>
      </w:r>
      <w:r>
        <w:rPr>
          <w:rStyle w:val="FootnoteReference"/>
        </w:rPr>
        <w:footnoteReference w:id="4"/>
      </w:r>
    </w:p>
    <w:p w14:paraId="3B2525D7" w14:textId="6E71691F" w:rsidR="001A5355" w:rsidRDefault="00B1475A" w:rsidP="00D10DB6">
      <w:pPr>
        <w:pStyle w:val="Heading2"/>
      </w:pPr>
      <w:r>
        <w:t>Current Position</w:t>
      </w:r>
    </w:p>
    <w:p w14:paraId="4D89A73C" w14:textId="77777777" w:rsidR="002A182A" w:rsidRDefault="002A182A" w:rsidP="00E838B6">
      <w:pPr>
        <w:pStyle w:val="BodyText"/>
      </w:pPr>
      <w:r>
        <w:t>At the time of preparing this brief:</w:t>
      </w:r>
    </w:p>
    <w:p w14:paraId="1502D2F7" w14:textId="6009F9B4" w:rsidR="00207ED8" w:rsidRDefault="002A182A" w:rsidP="002A182A">
      <w:pPr>
        <w:pStyle w:val="BodyText"/>
        <w:numPr>
          <w:ilvl w:val="0"/>
          <w:numId w:val="19"/>
        </w:numPr>
      </w:pPr>
      <w:r>
        <w:t>The CCWG Co-Chairs were still reviewing ICANN Board concerns.</w:t>
      </w:r>
    </w:p>
    <w:p w14:paraId="1E440D17" w14:textId="46B9767A" w:rsidR="002A182A" w:rsidRDefault="002A182A" w:rsidP="002A182A">
      <w:pPr>
        <w:pStyle w:val="BodyText"/>
        <w:numPr>
          <w:ilvl w:val="0"/>
          <w:numId w:val="19"/>
        </w:numPr>
      </w:pPr>
      <w:r>
        <w:t>Arrangements for the Report and Recommendations to be submitted to Chartering Organisations for consideration had not been finalised.</w:t>
      </w:r>
    </w:p>
    <w:p w14:paraId="3B466CDB" w14:textId="1EF1531D" w:rsidR="00D10DB6" w:rsidRDefault="00D10DB6" w:rsidP="000F5927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 w:cs="Century Gothic"/>
          <w:sz w:val="20"/>
          <w:szCs w:val="20"/>
          <w:lang w:eastAsia="en-AU"/>
        </w:rPr>
      </w:pPr>
    </w:p>
    <w:p w14:paraId="03097BF6" w14:textId="5FBAE542" w:rsidR="00D10DB6" w:rsidRDefault="00D10DB6" w:rsidP="00D10DB6">
      <w:pPr>
        <w:pStyle w:val="Heading2"/>
      </w:pPr>
      <w:r>
        <w:lastRenderedPageBreak/>
        <w:t>Further Information</w:t>
      </w:r>
    </w:p>
    <w:p w14:paraId="7C0ED2D3" w14:textId="2535D3AD" w:rsidR="00D10DB6" w:rsidRPr="00D10DB6" w:rsidRDefault="00D10DB6" w:rsidP="00D10DB6">
      <w:pPr>
        <w:pStyle w:val="BodyText"/>
        <w:rPr>
          <w:rStyle w:val="Hyperlink"/>
        </w:rPr>
      </w:pPr>
      <w:r>
        <w:fldChar w:fldCharType="begin"/>
      </w:r>
      <w:r>
        <w:instrText xml:space="preserve"> HYPERLINK "https://community.icann.org/display/WEIA/WS2+-+Enhancing+ICANN+Accountability+Home" </w:instrText>
      </w:r>
      <w:r>
        <w:fldChar w:fldCharType="separate"/>
      </w:r>
      <w:r w:rsidRPr="00D10DB6">
        <w:rPr>
          <w:rStyle w:val="Hyperlink"/>
        </w:rPr>
        <w:t>CCWG-Accountability Work Stream 2 (WS2)</w:t>
      </w:r>
    </w:p>
    <w:p w14:paraId="1FF9F184" w14:textId="3F2A66EA" w:rsidR="00D10DB6" w:rsidRPr="00D10DB6" w:rsidRDefault="00D10DB6" w:rsidP="00D10DB6">
      <w:pPr>
        <w:pStyle w:val="BodyText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"https://community.icann.org/display/WEIA/Jurisdiction" </w:instrText>
      </w:r>
      <w:r>
        <w:fldChar w:fldCharType="separate"/>
      </w:r>
      <w:r w:rsidRPr="00D10DB6">
        <w:rPr>
          <w:rStyle w:val="Hyperlink"/>
        </w:rPr>
        <w:t>CCWG-Accountability Sub-Group on Jurisdiction</w:t>
      </w:r>
    </w:p>
    <w:p w14:paraId="2A6D99FC" w14:textId="20913CA6" w:rsidR="00D10DB6" w:rsidRDefault="00D10DB6" w:rsidP="00D10DB6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/>
          <w:sz w:val="20"/>
          <w:szCs w:val="22"/>
          <w:lang w:val="en-AU"/>
        </w:rPr>
      </w:pPr>
      <w:r>
        <w:rPr>
          <w:rFonts w:ascii="Century Gothic" w:eastAsia="Calibri" w:hAnsi="Century Gothic"/>
          <w:sz w:val="20"/>
          <w:szCs w:val="22"/>
          <w:lang w:val="en-AU"/>
        </w:rPr>
        <w:fldChar w:fldCharType="end"/>
      </w:r>
      <w:hyperlink r:id="rId10" w:history="1">
        <w:r w:rsidR="00C77E9F" w:rsidRPr="0087241F">
          <w:rPr>
            <w:rStyle w:val="Hyperlink"/>
            <w:rFonts w:ascii="Century Gothic" w:eastAsia="Calibri" w:hAnsi="Century Gothic"/>
            <w:sz w:val="20"/>
            <w:szCs w:val="22"/>
            <w:lang w:val="en-AU"/>
          </w:rPr>
          <w:t>CCWG-Accountability Sub Group on Diversity</w:t>
        </w:r>
      </w:hyperlink>
    </w:p>
    <w:p w14:paraId="18B97190" w14:textId="047FE81C" w:rsidR="00C77E9F" w:rsidRDefault="00696FFE" w:rsidP="00D10DB6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/>
          <w:sz w:val="20"/>
          <w:szCs w:val="22"/>
          <w:lang w:val="en-AU"/>
        </w:rPr>
      </w:pPr>
      <w:hyperlink r:id="rId11" w:history="1">
        <w:r w:rsidR="00C77E9F" w:rsidRPr="0087241F">
          <w:rPr>
            <w:rStyle w:val="Hyperlink"/>
            <w:rFonts w:ascii="Century Gothic" w:eastAsia="Calibri" w:hAnsi="Century Gothic"/>
            <w:sz w:val="20"/>
            <w:szCs w:val="22"/>
            <w:lang w:val="en-AU"/>
          </w:rPr>
          <w:t>CCWG-Accountability Sub Group on Human Rights</w:t>
        </w:r>
      </w:hyperlink>
    </w:p>
    <w:p w14:paraId="0BFFDDDE" w14:textId="7A345739" w:rsidR="00C77E9F" w:rsidRDefault="00696FFE" w:rsidP="00D10DB6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/>
          <w:sz w:val="20"/>
          <w:szCs w:val="22"/>
          <w:lang w:val="en-AU"/>
        </w:rPr>
      </w:pPr>
      <w:hyperlink r:id="rId12" w:history="1">
        <w:r w:rsidR="00C77E9F" w:rsidRPr="0087241F">
          <w:rPr>
            <w:rStyle w:val="Hyperlink"/>
            <w:rFonts w:ascii="Century Gothic" w:eastAsia="Calibri" w:hAnsi="Century Gothic"/>
            <w:sz w:val="20"/>
            <w:szCs w:val="22"/>
            <w:lang w:val="en-AU"/>
          </w:rPr>
          <w:t>CCWG-Accountability Sub-Group on SO/AC Accountability</w:t>
        </w:r>
      </w:hyperlink>
    </w:p>
    <w:p w14:paraId="5D147C92" w14:textId="77777777" w:rsidR="00D10DB6" w:rsidRDefault="00D10DB6" w:rsidP="00D10DB6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/>
          <w:sz w:val="20"/>
          <w:szCs w:val="22"/>
          <w:lang w:val="en-AU"/>
        </w:rPr>
      </w:pPr>
    </w:p>
    <w:p w14:paraId="75FBDFE7" w14:textId="77777777" w:rsidR="00D10DB6" w:rsidRDefault="00D10DB6" w:rsidP="00D10DB6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/>
          <w:sz w:val="20"/>
          <w:szCs w:val="22"/>
          <w:lang w:val="en-AU"/>
        </w:rPr>
      </w:pPr>
    </w:p>
    <w:p w14:paraId="5AC98C37" w14:textId="77777777" w:rsidR="00D10DB6" w:rsidRDefault="00D10DB6" w:rsidP="00D10DB6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/>
          <w:sz w:val="20"/>
          <w:szCs w:val="22"/>
          <w:lang w:val="en-AU"/>
        </w:rPr>
      </w:pPr>
    </w:p>
    <w:p w14:paraId="0114F805" w14:textId="77777777" w:rsidR="00D10DB6" w:rsidRDefault="00D10DB6" w:rsidP="00D10DB6">
      <w:pPr>
        <w:widowControl w:val="0"/>
        <w:autoSpaceDE w:val="0"/>
        <w:autoSpaceDN w:val="0"/>
        <w:adjustRightInd w:val="0"/>
        <w:spacing w:after="200" w:line="276" w:lineRule="auto"/>
        <w:ind w:right="545"/>
        <w:jc w:val="both"/>
        <w:rPr>
          <w:rFonts w:ascii="Century Gothic" w:eastAsia="Calibri" w:hAnsi="Century Gothic"/>
          <w:sz w:val="20"/>
          <w:szCs w:val="22"/>
          <w:lang w:val="en-AU"/>
        </w:rPr>
      </w:pPr>
    </w:p>
    <w:p w14:paraId="1C7B89B9" w14:textId="77777777" w:rsidR="00D10DB6" w:rsidRDefault="00D10DB6" w:rsidP="00D10DB6">
      <w:pPr>
        <w:pStyle w:val="Heading2"/>
      </w:pPr>
      <w:bookmarkStart w:id="0" w:name="_Hlk484433727"/>
      <w:r>
        <w:t>Document Administration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D10DB6" w:rsidRPr="003F43E3" w14:paraId="78B133EA" w14:textId="77777777" w:rsidTr="00A30382">
        <w:tc>
          <w:tcPr>
            <w:tcW w:w="3261" w:type="dxa"/>
            <w:vAlign w:val="center"/>
          </w:tcPr>
          <w:p w14:paraId="4A5F30A2" w14:textId="77777777" w:rsidR="00D10DB6" w:rsidRPr="003F43E3" w:rsidRDefault="00D10DB6" w:rsidP="00A30382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Title</w:t>
            </w:r>
          </w:p>
        </w:tc>
        <w:tc>
          <w:tcPr>
            <w:tcW w:w="5811" w:type="dxa"/>
            <w:vAlign w:val="center"/>
          </w:tcPr>
          <w:p w14:paraId="40D9A58F" w14:textId="274AF380" w:rsidR="00D10DB6" w:rsidRPr="00EA3A02" w:rsidRDefault="00C77E9F" w:rsidP="00D10DB6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CCWG</w:t>
            </w:r>
            <w:r w:rsidR="00352E3D"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 WS2</w:t>
            </w: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 Accountability Update</w:t>
            </w:r>
          </w:p>
        </w:tc>
      </w:tr>
      <w:tr w:rsidR="00D10DB6" w:rsidRPr="003F43E3" w14:paraId="3293C14D" w14:textId="77777777" w:rsidTr="00A30382">
        <w:tc>
          <w:tcPr>
            <w:tcW w:w="3261" w:type="dxa"/>
            <w:vAlign w:val="center"/>
          </w:tcPr>
          <w:p w14:paraId="248CAC85" w14:textId="77777777" w:rsidR="00D10DB6" w:rsidRPr="003F43E3" w:rsidRDefault="00D10DB6" w:rsidP="00A30382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</w:t>
            </w:r>
          </w:p>
        </w:tc>
        <w:tc>
          <w:tcPr>
            <w:tcW w:w="5811" w:type="dxa"/>
            <w:vAlign w:val="center"/>
          </w:tcPr>
          <w:p w14:paraId="43C3334C" w14:textId="77777777" w:rsidR="00D10DB6" w:rsidRPr="003F43E3" w:rsidRDefault="00D10DB6" w:rsidP="00A30382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GAC Members</w:t>
            </w:r>
          </w:p>
        </w:tc>
      </w:tr>
      <w:tr w:rsidR="00D10DB6" w:rsidRPr="003F43E3" w14:paraId="08CDC155" w14:textId="77777777" w:rsidTr="00A30382">
        <w:tc>
          <w:tcPr>
            <w:tcW w:w="3261" w:type="dxa"/>
            <w:vAlign w:val="center"/>
          </w:tcPr>
          <w:p w14:paraId="696B86E1" w14:textId="77777777" w:rsidR="00D10DB6" w:rsidRPr="003F43E3" w:rsidRDefault="00D10DB6" w:rsidP="00A30382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 Date</w:t>
            </w:r>
          </w:p>
        </w:tc>
        <w:tc>
          <w:tcPr>
            <w:tcW w:w="5811" w:type="dxa"/>
            <w:vAlign w:val="center"/>
          </w:tcPr>
          <w:p w14:paraId="5D2252C2" w14:textId="31843924" w:rsidR="00D10DB6" w:rsidRPr="003F43E3" w:rsidRDefault="00181D77" w:rsidP="00A30382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7</w:t>
            </w:r>
            <w:bookmarkStart w:id="1" w:name="_GoBack"/>
            <w:bookmarkEnd w:id="1"/>
            <w:r w:rsidR="002A182A"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 June 2018</w:t>
            </w:r>
          </w:p>
        </w:tc>
      </w:tr>
      <w:bookmarkEnd w:id="0"/>
    </w:tbl>
    <w:p w14:paraId="5CB2C162" w14:textId="77777777" w:rsidR="00D10DB6" w:rsidRDefault="00D10DB6" w:rsidP="00AA6D42">
      <w:pPr>
        <w:pStyle w:val="BodyText"/>
        <w:ind w:right="545"/>
      </w:pPr>
    </w:p>
    <w:p w14:paraId="1A24273E" w14:textId="77777777" w:rsidR="00EA3A02" w:rsidRDefault="00EA3A02" w:rsidP="00AA6D42">
      <w:pPr>
        <w:pStyle w:val="BodyText"/>
        <w:ind w:right="545"/>
      </w:pPr>
    </w:p>
    <w:sectPr w:rsidR="00EA3A02" w:rsidSect="007A174E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15CF8" w14:textId="77777777" w:rsidR="00696FFE" w:rsidRDefault="00696FFE" w:rsidP="00A24449">
      <w:r>
        <w:separator/>
      </w:r>
    </w:p>
  </w:endnote>
  <w:endnote w:type="continuationSeparator" w:id="0">
    <w:p w14:paraId="55C1422B" w14:textId="77777777" w:rsidR="00696FFE" w:rsidRDefault="00696FFE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6EB9D" w14:textId="77777777" w:rsidR="00265E52" w:rsidRDefault="00265E52" w:rsidP="002276FD">
    <w:pPr>
      <w:pStyle w:val="Footer"/>
      <w:ind w:left="-567" w:right="261"/>
    </w:pPr>
  </w:p>
  <w:p w14:paraId="22C9A9EC" w14:textId="16E4EB7E" w:rsidR="00265E52" w:rsidRPr="00B026C8" w:rsidRDefault="00265E52" w:rsidP="00AA6D42">
    <w:pPr>
      <w:pBdr>
        <w:top w:val="single" w:sz="18" w:space="1" w:color="1F497D"/>
      </w:pBdr>
      <w:spacing w:before="240"/>
      <w:ind w:right="545"/>
      <w:rPr>
        <w:rFonts w:ascii="Century Gothic" w:hAnsi="Century Gothic"/>
        <w:color w:val="00408E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  <w:r w:rsidR="00EC3D26">
      <w:rPr>
        <w:sz w:val="16"/>
        <w:szCs w:val="16"/>
      </w:rPr>
      <w:t xml:space="preserve">                                                             </w:t>
    </w:r>
    <w:r>
      <w:rPr>
        <w:sz w:val="16"/>
        <w:szCs w:val="16"/>
      </w:rPr>
      <w:t xml:space="preserve"> </w:t>
    </w:r>
    <w:r w:rsidR="00AA6D42">
      <w:rPr>
        <w:sz w:val="16"/>
        <w:szCs w:val="16"/>
      </w:rPr>
      <w:tab/>
    </w:r>
    <w:r w:rsidR="00AA6D42">
      <w:rPr>
        <w:sz w:val="16"/>
        <w:szCs w:val="16"/>
      </w:rPr>
      <w:tab/>
    </w:r>
    <w:r w:rsidR="00AA6D42">
      <w:rPr>
        <w:sz w:val="16"/>
        <w:szCs w:val="16"/>
      </w:rPr>
      <w:tab/>
    </w:r>
    <w:r w:rsidRPr="00B026C8">
      <w:rPr>
        <w:rFonts w:ascii="Century Gothic" w:hAnsi="Century Gothic"/>
        <w:color w:val="00408E"/>
        <w:sz w:val="16"/>
        <w:szCs w:val="16"/>
      </w:rPr>
      <w:t xml:space="preserve">Page </w:t>
    </w:r>
    <w:r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57629A">
      <w:rPr>
        <w:rFonts w:ascii="Century Gothic" w:hAnsi="Century Gothic"/>
        <w:noProof/>
        <w:color w:val="00408E"/>
        <w:sz w:val="16"/>
        <w:szCs w:val="16"/>
      </w:rPr>
      <w:t>2</w:t>
    </w:r>
    <w:r w:rsidRPr="00B026C8">
      <w:rPr>
        <w:rFonts w:ascii="Century Gothic" w:hAnsi="Century Gothic"/>
        <w:color w:val="00408E"/>
        <w:sz w:val="16"/>
        <w:szCs w:val="16"/>
      </w:rPr>
      <w:fldChar w:fldCharType="end"/>
    </w:r>
    <w:r w:rsidRPr="00B026C8">
      <w:rPr>
        <w:rFonts w:ascii="Century Gothic" w:hAnsi="Century Gothic"/>
        <w:color w:val="00408E"/>
        <w:sz w:val="16"/>
        <w:szCs w:val="16"/>
      </w:rPr>
      <w:t xml:space="preserve"> of </w:t>
    </w:r>
    <w:r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57629A">
      <w:rPr>
        <w:rFonts w:ascii="Century Gothic" w:hAnsi="Century Gothic"/>
        <w:noProof/>
        <w:color w:val="00408E"/>
        <w:sz w:val="16"/>
        <w:szCs w:val="16"/>
      </w:rPr>
      <w:t>2</w:t>
    </w:r>
    <w:r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2D888BF1" w14:textId="77777777" w:rsidR="00265E52" w:rsidRPr="000C0FD7" w:rsidRDefault="00265E52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83CC" w14:textId="77777777" w:rsidR="00265E52" w:rsidRPr="00C2562C" w:rsidRDefault="00265E52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4E0CE35E" w14:textId="77777777" w:rsidR="00265E52" w:rsidRPr="00B026C8" w:rsidRDefault="00265E52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 xml:space="preserve">203 Drummond Street, Carlton VIC 3053 </w:t>
    </w:r>
  </w:p>
  <w:p w14:paraId="5F7B5C75" w14:textId="77777777" w:rsidR="00265E52" w:rsidRPr="00B026C8" w:rsidRDefault="00265E52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>03 9650 7222</w:t>
    </w:r>
  </w:p>
  <w:p w14:paraId="1A96EBCB" w14:textId="77777777" w:rsidR="00265E52" w:rsidRPr="00B026C8" w:rsidRDefault="00265E52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 xml:space="preserve">www.acig.com.au </w:t>
    </w:r>
  </w:p>
  <w:p w14:paraId="2AE084D1" w14:textId="77777777" w:rsidR="00265E52" w:rsidRDefault="00265E52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EA081" w14:textId="77777777" w:rsidR="00696FFE" w:rsidRDefault="00696FFE" w:rsidP="00A24449">
      <w:r>
        <w:separator/>
      </w:r>
    </w:p>
  </w:footnote>
  <w:footnote w:type="continuationSeparator" w:id="0">
    <w:p w14:paraId="52AEFAAB" w14:textId="77777777" w:rsidR="00696FFE" w:rsidRDefault="00696FFE" w:rsidP="00A24449">
      <w:r>
        <w:continuationSeparator/>
      </w:r>
    </w:p>
  </w:footnote>
  <w:footnote w:id="1">
    <w:p w14:paraId="435DD598" w14:textId="6DED8930" w:rsidR="006B7BEC" w:rsidRPr="006B7BEC" w:rsidRDefault="006B7BEC">
      <w:pPr>
        <w:pStyle w:val="FootnoteText"/>
        <w:rPr>
          <w:rFonts w:ascii="Century Gothic" w:hAnsi="Century Gothic"/>
          <w:sz w:val="18"/>
          <w:szCs w:val="18"/>
        </w:rPr>
      </w:pPr>
      <w:r w:rsidRPr="006B7BEC">
        <w:rPr>
          <w:rStyle w:val="FootnoteReference"/>
          <w:rFonts w:ascii="Century Gothic" w:hAnsi="Century Gothic"/>
          <w:sz w:val="18"/>
          <w:szCs w:val="18"/>
        </w:rPr>
        <w:footnoteRef/>
      </w:r>
      <w:r w:rsidRPr="006B7BEC">
        <w:rPr>
          <w:rFonts w:ascii="Century Gothic" w:hAnsi="Century Gothic"/>
          <w:sz w:val="18"/>
          <w:szCs w:val="18"/>
        </w:rPr>
        <w:t xml:space="preserve"> France: </w:t>
      </w:r>
      <w:hyperlink r:id="rId1" w:history="1">
        <w:r w:rsidRPr="006B7BEC">
          <w:rPr>
            <w:rStyle w:val="Hyperlink"/>
            <w:rFonts w:ascii="Century Gothic" w:hAnsi="Century Gothic"/>
            <w:sz w:val="18"/>
            <w:szCs w:val="18"/>
          </w:rPr>
          <w:t>Submission to Public Comment re diversity</w:t>
        </w:r>
      </w:hyperlink>
    </w:p>
  </w:footnote>
  <w:footnote w:id="2">
    <w:p w14:paraId="0C000A08" w14:textId="3DE6B0F1" w:rsidR="00927979" w:rsidRPr="00E15156" w:rsidRDefault="00927979">
      <w:pPr>
        <w:pStyle w:val="FootnoteText"/>
        <w:rPr>
          <w:rFonts w:ascii="Century Gothic" w:hAnsi="Century Gothic"/>
          <w:sz w:val="18"/>
          <w:szCs w:val="18"/>
        </w:rPr>
      </w:pPr>
      <w:r w:rsidRPr="00E15156">
        <w:rPr>
          <w:rStyle w:val="FootnoteReference"/>
          <w:rFonts w:ascii="Century Gothic" w:hAnsi="Century Gothic"/>
          <w:sz w:val="18"/>
          <w:szCs w:val="18"/>
        </w:rPr>
        <w:footnoteRef/>
      </w:r>
      <w:r w:rsidRPr="00E15156">
        <w:rPr>
          <w:rFonts w:ascii="Century Gothic" w:hAnsi="Century Gothic"/>
          <w:sz w:val="18"/>
          <w:szCs w:val="18"/>
        </w:rPr>
        <w:t xml:space="preserve"> France: </w:t>
      </w:r>
      <w:hyperlink r:id="rId2" w:history="1">
        <w:r w:rsidRPr="00E15156">
          <w:rPr>
            <w:rStyle w:val="Hyperlink"/>
            <w:rFonts w:ascii="Century Gothic" w:hAnsi="Century Gothic"/>
            <w:sz w:val="18"/>
            <w:szCs w:val="18"/>
          </w:rPr>
          <w:t>Submission to Public Comment re jurisdiction</w:t>
        </w:r>
      </w:hyperlink>
      <w:r w:rsidRPr="00E15156">
        <w:rPr>
          <w:rFonts w:ascii="Century Gothic" w:hAnsi="Century Gothic"/>
          <w:sz w:val="18"/>
          <w:szCs w:val="18"/>
        </w:rPr>
        <w:t xml:space="preserve"> </w:t>
      </w:r>
    </w:p>
  </w:footnote>
  <w:footnote w:id="3">
    <w:p w14:paraId="407CF1D4" w14:textId="4E368156" w:rsidR="00E15156" w:rsidRDefault="00E15156">
      <w:pPr>
        <w:pStyle w:val="FootnoteText"/>
      </w:pPr>
      <w:r w:rsidRPr="00E15156">
        <w:rPr>
          <w:rStyle w:val="FootnoteReference"/>
          <w:rFonts w:ascii="Century Gothic" w:hAnsi="Century Gothic"/>
          <w:sz w:val="18"/>
          <w:szCs w:val="18"/>
        </w:rPr>
        <w:footnoteRef/>
      </w:r>
      <w:r w:rsidRPr="00E15156">
        <w:rPr>
          <w:rFonts w:ascii="Century Gothic" w:hAnsi="Century Gothic"/>
          <w:sz w:val="18"/>
          <w:szCs w:val="18"/>
        </w:rPr>
        <w:t xml:space="preserve"> Brazil: Pre-meeting advice to Secretariat and GAC-appointed members of CCWG</w:t>
      </w:r>
    </w:p>
  </w:footnote>
  <w:footnote w:id="4">
    <w:p w14:paraId="06F8B80B" w14:textId="695515AA" w:rsidR="007F0696" w:rsidRPr="007F0696" w:rsidRDefault="007F0696">
      <w:pPr>
        <w:pStyle w:val="FootnoteText"/>
        <w:rPr>
          <w:rFonts w:ascii="Century Gothic" w:hAnsi="Century Gothic"/>
          <w:sz w:val="18"/>
          <w:szCs w:val="18"/>
        </w:rPr>
      </w:pPr>
      <w:r w:rsidRPr="007F0696">
        <w:rPr>
          <w:rStyle w:val="FootnoteReference"/>
          <w:rFonts w:ascii="Century Gothic" w:hAnsi="Century Gothic"/>
          <w:sz w:val="18"/>
          <w:szCs w:val="18"/>
        </w:rPr>
        <w:footnoteRef/>
      </w:r>
      <w:r w:rsidRPr="007F0696">
        <w:rPr>
          <w:rFonts w:ascii="Century Gothic" w:hAnsi="Century Gothic"/>
          <w:sz w:val="18"/>
          <w:szCs w:val="18"/>
        </w:rPr>
        <w:t xml:space="preserve"> </w:t>
      </w:r>
      <w:hyperlink r:id="rId3" w:history="1">
        <w:r w:rsidRPr="007F0696">
          <w:rPr>
            <w:rStyle w:val="Hyperlink"/>
            <w:rFonts w:ascii="Century Gothic" w:hAnsi="Century Gothic"/>
            <w:sz w:val="18"/>
            <w:szCs w:val="18"/>
          </w:rPr>
          <w:t>GAC Marrakech Communique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C198" w14:textId="5DE68BD0" w:rsidR="00265E52" w:rsidRDefault="00265E52" w:rsidP="00B53525">
    <w:pPr>
      <w:pStyle w:val="Header"/>
      <w:tabs>
        <w:tab w:val="clear" w:pos="4680"/>
        <w:tab w:val="clear" w:pos="9360"/>
      </w:tabs>
      <w:ind w:right="-306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662CC8F" wp14:editId="774E69C8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23E30" w14:textId="77777777" w:rsidR="00265E52" w:rsidRPr="0091773C" w:rsidRDefault="00265E52" w:rsidP="00B53525">
                          <w:pPr>
                            <w:ind w:left="-142"/>
                            <w:rPr>
                              <w:rFonts w:ascii="Arial Narrow" w:hAnsi="Arial Narrow"/>
                              <w:color w:val="C45911"/>
                              <w:sz w:val="32"/>
                              <w:szCs w:val="32"/>
                            </w:rPr>
                          </w:pPr>
                          <w:r w:rsidRPr="0091773C">
                            <w:rPr>
                              <w:rFonts w:ascii="Arial Narrow" w:hAnsi="Arial Narrow"/>
                              <w:color w:val="C45911"/>
                              <w:sz w:val="32"/>
                              <w:szCs w:val="32"/>
                            </w:rPr>
                            <w:t>GAC Secretariat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2CC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7.2pt;margin-top:17.55pt;width:105.55pt;height:2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" stroked="f">
              <v:textbox>
                <w:txbxContent>
                  <w:p w14:paraId="60A23E30" w14:textId="77777777" w:rsidR="00265E52" w:rsidRPr="0091773C" w:rsidRDefault="00265E52" w:rsidP="00B53525">
                    <w:pPr>
                      <w:ind w:left="-142"/>
                      <w:rPr>
                        <w:rFonts w:ascii="Arial Narrow" w:hAnsi="Arial Narrow"/>
                        <w:color w:val="C45911"/>
                        <w:sz w:val="32"/>
                        <w:szCs w:val="32"/>
                      </w:rPr>
                    </w:pPr>
                    <w:r w:rsidRPr="0091773C">
                      <w:rPr>
                        <w:rFonts w:ascii="Arial Narrow" w:hAnsi="Arial Narrow"/>
                        <w:color w:val="C45911"/>
                        <w:sz w:val="32"/>
                        <w:szCs w:val="32"/>
                      </w:rPr>
                      <w:t>GAC Secretariat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C3D26">
      <w:t xml:space="preserve">                       </w:t>
    </w:r>
    <w:r>
      <w:t xml:space="preserve">                    </w:t>
    </w:r>
    <w:r>
      <w:rPr>
        <w:noProof/>
        <w:lang w:val="en-GB" w:eastAsia="en-GB"/>
      </w:rPr>
      <w:drawing>
        <wp:inline distT="0" distB="0" distL="0" distR="0" wp14:anchorId="2807CE83" wp14:editId="4E8A2DEA">
          <wp:extent cx="457200" cy="293077"/>
          <wp:effectExtent l="0" t="0" r="0" b="12065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93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61037EF" wp14:editId="573EA211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0" t="0" r="0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342CE0B" w14:textId="77777777" w:rsidR="00265E52" w:rsidRPr="002276FD" w:rsidRDefault="00265E52" w:rsidP="00CD30A8">
                          <w:pPr>
                            <w:ind w:left="-142"/>
                            <w:rPr>
                              <w:rFonts w:ascii="Arial Narrow" w:hAnsi="Arial Narrow"/>
                              <w:color w:val="C45911" w:themeColor="accent2" w:themeShade="BF"/>
                              <w:sz w:val="32"/>
                              <w:szCs w:val="32"/>
                            </w:rPr>
                          </w:pPr>
                          <w:r w:rsidRPr="002276FD">
                            <w:rPr>
                              <w:rFonts w:ascii="Arial Narrow" w:hAnsi="Arial Narrow"/>
                              <w:color w:val="C45911" w:themeColor="accent2" w:themeShade="BF"/>
                              <w:sz w:val="32"/>
                              <w:szCs w:val="32"/>
                            </w:rPr>
                            <w:t>GAC Secretariat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037EF" id="Text Box 4" o:spid="_x0000_s1027" type="#_x0000_t202" style="position:absolute;left:0;text-align:left;margin-left:357.2pt;margin-top:17.55pt;width:105.55pt;height:2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" stroked="f">
              <v:textbox>
                <w:txbxContent>
                  <w:p w14:paraId="5342CE0B" w14:textId="77777777" w:rsidR="00265E52" w:rsidRPr="002276FD" w:rsidRDefault="00265E52" w:rsidP="00CD30A8">
                    <w:pPr>
                      <w:ind w:left="-142"/>
                      <w:rPr>
                        <w:rFonts w:ascii="Arial Narrow" w:hAnsi="Arial Narrow"/>
                        <w:color w:val="C45911" w:themeColor="accent2" w:themeShade="BF"/>
                        <w:sz w:val="32"/>
                        <w:szCs w:val="32"/>
                      </w:rPr>
                    </w:pPr>
                    <w:r w:rsidRPr="002276FD">
                      <w:rPr>
                        <w:rFonts w:ascii="Arial Narrow" w:hAnsi="Arial Narrow"/>
                        <w:color w:val="C45911" w:themeColor="accent2" w:themeShade="BF"/>
                        <w:sz w:val="32"/>
                        <w:szCs w:val="32"/>
                      </w:rPr>
                      <w:t>GAC Secretariat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2F92" w14:textId="77777777" w:rsidR="00265E52" w:rsidRDefault="00265E52" w:rsidP="00C2562C">
    <w:pPr>
      <w:pStyle w:val="Header"/>
      <w:tabs>
        <w:tab w:val="clear" w:pos="9360"/>
      </w:tabs>
      <w:ind w:left="-851"/>
      <w:jc w:val="center"/>
    </w:pPr>
    <w:r>
      <w:rPr>
        <w:noProof/>
        <w:lang w:val="en-GB" w:eastAsia="en-GB"/>
      </w:rPr>
      <w:drawing>
        <wp:inline distT="0" distB="0" distL="0" distR="0" wp14:anchorId="18DC42A4" wp14:editId="54F54699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1F2F7D65"/>
    <w:multiLevelType w:val="hybridMultilevel"/>
    <w:tmpl w:val="C910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3D24"/>
    <w:multiLevelType w:val="hybridMultilevel"/>
    <w:tmpl w:val="B82E60D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14971"/>
    <w:multiLevelType w:val="hybridMultilevel"/>
    <w:tmpl w:val="58CA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65CDC"/>
    <w:multiLevelType w:val="hybridMultilevel"/>
    <w:tmpl w:val="6EBA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A3FD3"/>
    <w:multiLevelType w:val="hybridMultilevel"/>
    <w:tmpl w:val="A2088966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31011F"/>
    <w:multiLevelType w:val="multilevel"/>
    <w:tmpl w:val="6BB6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70D48"/>
    <w:multiLevelType w:val="hybridMultilevel"/>
    <w:tmpl w:val="4EF6B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61F4139C"/>
    <w:multiLevelType w:val="hybridMultilevel"/>
    <w:tmpl w:val="531E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F127E"/>
    <w:multiLevelType w:val="hybridMultilevel"/>
    <w:tmpl w:val="5DC81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598B"/>
    <w:multiLevelType w:val="hybridMultilevel"/>
    <w:tmpl w:val="F73A0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B208F4"/>
    <w:multiLevelType w:val="hybridMultilevel"/>
    <w:tmpl w:val="9EF4A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CC7DE8"/>
    <w:multiLevelType w:val="hybridMultilevel"/>
    <w:tmpl w:val="8B326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422F5B"/>
    <w:multiLevelType w:val="hybridMultilevel"/>
    <w:tmpl w:val="07826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437814"/>
    <w:multiLevelType w:val="hybridMultilevel"/>
    <w:tmpl w:val="E72E63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9E28B0"/>
    <w:multiLevelType w:val="hybridMultilevel"/>
    <w:tmpl w:val="AADAE810"/>
    <w:lvl w:ilvl="0" w:tplc="7B98F9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18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9"/>
  </w:num>
  <w:num w:numId="13">
    <w:abstractNumId w:val="17"/>
  </w:num>
  <w:num w:numId="14">
    <w:abstractNumId w:val="13"/>
  </w:num>
  <w:num w:numId="15">
    <w:abstractNumId w:val="15"/>
  </w:num>
  <w:num w:numId="16">
    <w:abstractNumId w:val="14"/>
  </w:num>
  <w:num w:numId="17">
    <w:abstractNumId w:val="12"/>
  </w:num>
  <w:num w:numId="18">
    <w:abstractNumId w:val="4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attachedTemplate r:id="rId1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D6"/>
    <w:rsid w:val="00000949"/>
    <w:rsid w:val="000121B8"/>
    <w:rsid w:val="00017DDB"/>
    <w:rsid w:val="00023512"/>
    <w:rsid w:val="00023E59"/>
    <w:rsid w:val="0002714F"/>
    <w:rsid w:val="000328A2"/>
    <w:rsid w:val="0007760C"/>
    <w:rsid w:val="00083BC8"/>
    <w:rsid w:val="0008562A"/>
    <w:rsid w:val="00085A36"/>
    <w:rsid w:val="000964B7"/>
    <w:rsid w:val="000A1076"/>
    <w:rsid w:val="000B6365"/>
    <w:rsid w:val="000C0FD7"/>
    <w:rsid w:val="000C5167"/>
    <w:rsid w:val="000C6B2E"/>
    <w:rsid w:val="000C7897"/>
    <w:rsid w:val="000D1296"/>
    <w:rsid w:val="000F083F"/>
    <w:rsid w:val="000F5927"/>
    <w:rsid w:val="000F794C"/>
    <w:rsid w:val="00101754"/>
    <w:rsid w:val="00102247"/>
    <w:rsid w:val="00123E04"/>
    <w:rsid w:val="00124881"/>
    <w:rsid w:val="001373A0"/>
    <w:rsid w:val="00141874"/>
    <w:rsid w:val="00142EBB"/>
    <w:rsid w:val="00144B1B"/>
    <w:rsid w:val="00147E65"/>
    <w:rsid w:val="001577F4"/>
    <w:rsid w:val="0016195D"/>
    <w:rsid w:val="00181D77"/>
    <w:rsid w:val="00184A6B"/>
    <w:rsid w:val="001A5355"/>
    <w:rsid w:val="001A541E"/>
    <w:rsid w:val="001A6E2E"/>
    <w:rsid w:val="001B337F"/>
    <w:rsid w:val="001B35DE"/>
    <w:rsid w:val="001D0AB7"/>
    <w:rsid w:val="001D1DEB"/>
    <w:rsid w:val="001D64DD"/>
    <w:rsid w:val="001F797E"/>
    <w:rsid w:val="00203D87"/>
    <w:rsid w:val="002058E1"/>
    <w:rsid w:val="00207ED8"/>
    <w:rsid w:val="002110FA"/>
    <w:rsid w:val="0021772D"/>
    <w:rsid w:val="0022503D"/>
    <w:rsid w:val="002276FD"/>
    <w:rsid w:val="002342A7"/>
    <w:rsid w:val="002473AD"/>
    <w:rsid w:val="00250279"/>
    <w:rsid w:val="00265E52"/>
    <w:rsid w:val="00265F90"/>
    <w:rsid w:val="00273354"/>
    <w:rsid w:val="00276F47"/>
    <w:rsid w:val="00287DA6"/>
    <w:rsid w:val="00293161"/>
    <w:rsid w:val="00294D4F"/>
    <w:rsid w:val="002A182A"/>
    <w:rsid w:val="002A1E40"/>
    <w:rsid w:val="002B5CC4"/>
    <w:rsid w:val="002B7D69"/>
    <w:rsid w:val="002C3D50"/>
    <w:rsid w:val="002C7EFF"/>
    <w:rsid w:val="00304123"/>
    <w:rsid w:val="00306036"/>
    <w:rsid w:val="00311AA0"/>
    <w:rsid w:val="00327A1A"/>
    <w:rsid w:val="003308BB"/>
    <w:rsid w:val="003401B4"/>
    <w:rsid w:val="003426C6"/>
    <w:rsid w:val="003426EE"/>
    <w:rsid w:val="00352CA5"/>
    <w:rsid w:val="00352E3D"/>
    <w:rsid w:val="003643C4"/>
    <w:rsid w:val="003644DC"/>
    <w:rsid w:val="00367D10"/>
    <w:rsid w:val="00371356"/>
    <w:rsid w:val="00384915"/>
    <w:rsid w:val="00391D09"/>
    <w:rsid w:val="00392926"/>
    <w:rsid w:val="003951BB"/>
    <w:rsid w:val="003961C1"/>
    <w:rsid w:val="003B50A3"/>
    <w:rsid w:val="003D7A8D"/>
    <w:rsid w:val="003E03CB"/>
    <w:rsid w:val="003F0D47"/>
    <w:rsid w:val="003F1F29"/>
    <w:rsid w:val="003F4225"/>
    <w:rsid w:val="003F686E"/>
    <w:rsid w:val="00400344"/>
    <w:rsid w:val="0040195C"/>
    <w:rsid w:val="00406CEE"/>
    <w:rsid w:val="00412A64"/>
    <w:rsid w:val="00416093"/>
    <w:rsid w:val="0042169D"/>
    <w:rsid w:val="004256A5"/>
    <w:rsid w:val="004353D1"/>
    <w:rsid w:val="00440B47"/>
    <w:rsid w:val="00454CBD"/>
    <w:rsid w:val="0045612A"/>
    <w:rsid w:val="00460A7C"/>
    <w:rsid w:val="00463411"/>
    <w:rsid w:val="00466E60"/>
    <w:rsid w:val="00472AE4"/>
    <w:rsid w:val="00481C0C"/>
    <w:rsid w:val="00482610"/>
    <w:rsid w:val="004837E2"/>
    <w:rsid w:val="00483D9D"/>
    <w:rsid w:val="00492E56"/>
    <w:rsid w:val="0049600A"/>
    <w:rsid w:val="004A18F6"/>
    <w:rsid w:val="004A35BB"/>
    <w:rsid w:val="004A47B9"/>
    <w:rsid w:val="004A58B8"/>
    <w:rsid w:val="004A76DE"/>
    <w:rsid w:val="004B6776"/>
    <w:rsid w:val="004B6A85"/>
    <w:rsid w:val="004E22C7"/>
    <w:rsid w:val="004E2498"/>
    <w:rsid w:val="004E4B74"/>
    <w:rsid w:val="0051347B"/>
    <w:rsid w:val="00517E99"/>
    <w:rsid w:val="00532323"/>
    <w:rsid w:val="0054429B"/>
    <w:rsid w:val="005562E5"/>
    <w:rsid w:val="0055717A"/>
    <w:rsid w:val="005716B7"/>
    <w:rsid w:val="00573397"/>
    <w:rsid w:val="0057629A"/>
    <w:rsid w:val="0057629C"/>
    <w:rsid w:val="00577F86"/>
    <w:rsid w:val="00580A87"/>
    <w:rsid w:val="005A2B8D"/>
    <w:rsid w:val="005C09C7"/>
    <w:rsid w:val="005C163D"/>
    <w:rsid w:val="005C62A7"/>
    <w:rsid w:val="005D6F61"/>
    <w:rsid w:val="005E2917"/>
    <w:rsid w:val="005F2D09"/>
    <w:rsid w:val="0061016F"/>
    <w:rsid w:val="0061408A"/>
    <w:rsid w:val="0061550E"/>
    <w:rsid w:val="00624AEC"/>
    <w:rsid w:val="0063569C"/>
    <w:rsid w:val="00635F0B"/>
    <w:rsid w:val="00647BBA"/>
    <w:rsid w:val="00652018"/>
    <w:rsid w:val="00656C07"/>
    <w:rsid w:val="006735F6"/>
    <w:rsid w:val="00673F9B"/>
    <w:rsid w:val="006762B8"/>
    <w:rsid w:val="0067792E"/>
    <w:rsid w:val="00683C6C"/>
    <w:rsid w:val="00685BA3"/>
    <w:rsid w:val="00696FFE"/>
    <w:rsid w:val="006A3757"/>
    <w:rsid w:val="006B7BEC"/>
    <w:rsid w:val="006E28C6"/>
    <w:rsid w:val="006E5066"/>
    <w:rsid w:val="006E5C0F"/>
    <w:rsid w:val="0070074A"/>
    <w:rsid w:val="0071629B"/>
    <w:rsid w:val="00722431"/>
    <w:rsid w:val="0072423D"/>
    <w:rsid w:val="00726B93"/>
    <w:rsid w:val="00731C3E"/>
    <w:rsid w:val="00733E56"/>
    <w:rsid w:val="00736CC9"/>
    <w:rsid w:val="00740F60"/>
    <w:rsid w:val="00743A93"/>
    <w:rsid w:val="007670C2"/>
    <w:rsid w:val="00767C65"/>
    <w:rsid w:val="00787F8F"/>
    <w:rsid w:val="007A174E"/>
    <w:rsid w:val="007A7FA6"/>
    <w:rsid w:val="007C3742"/>
    <w:rsid w:val="007C469F"/>
    <w:rsid w:val="007D32B7"/>
    <w:rsid w:val="007E1AD3"/>
    <w:rsid w:val="007E6F9A"/>
    <w:rsid w:val="007F0696"/>
    <w:rsid w:val="007F633A"/>
    <w:rsid w:val="007F7962"/>
    <w:rsid w:val="00803F79"/>
    <w:rsid w:val="00804134"/>
    <w:rsid w:val="00815A76"/>
    <w:rsid w:val="00817EAC"/>
    <w:rsid w:val="00831E94"/>
    <w:rsid w:val="00832606"/>
    <w:rsid w:val="00832757"/>
    <w:rsid w:val="00832AEE"/>
    <w:rsid w:val="00841F67"/>
    <w:rsid w:val="008433FC"/>
    <w:rsid w:val="00854588"/>
    <w:rsid w:val="00860F68"/>
    <w:rsid w:val="00866FF8"/>
    <w:rsid w:val="0087241F"/>
    <w:rsid w:val="00873893"/>
    <w:rsid w:val="00876A55"/>
    <w:rsid w:val="0087723B"/>
    <w:rsid w:val="00880308"/>
    <w:rsid w:val="008822A3"/>
    <w:rsid w:val="00882354"/>
    <w:rsid w:val="00882E28"/>
    <w:rsid w:val="008930C3"/>
    <w:rsid w:val="00897328"/>
    <w:rsid w:val="008A4120"/>
    <w:rsid w:val="008B442C"/>
    <w:rsid w:val="008C4F95"/>
    <w:rsid w:val="008D3421"/>
    <w:rsid w:val="008D72E9"/>
    <w:rsid w:val="008F1AF4"/>
    <w:rsid w:val="009123B6"/>
    <w:rsid w:val="00914215"/>
    <w:rsid w:val="0091532B"/>
    <w:rsid w:val="0091793A"/>
    <w:rsid w:val="00927979"/>
    <w:rsid w:val="00935124"/>
    <w:rsid w:val="00936441"/>
    <w:rsid w:val="00960831"/>
    <w:rsid w:val="0099631A"/>
    <w:rsid w:val="009A3A9F"/>
    <w:rsid w:val="009A5F69"/>
    <w:rsid w:val="009B5DA7"/>
    <w:rsid w:val="009B79A6"/>
    <w:rsid w:val="009C757D"/>
    <w:rsid w:val="009C77A8"/>
    <w:rsid w:val="009D5A26"/>
    <w:rsid w:val="009F47C8"/>
    <w:rsid w:val="00A07882"/>
    <w:rsid w:val="00A10D81"/>
    <w:rsid w:val="00A172FA"/>
    <w:rsid w:val="00A243F9"/>
    <w:rsid w:val="00A24449"/>
    <w:rsid w:val="00A36228"/>
    <w:rsid w:val="00A3629D"/>
    <w:rsid w:val="00A40DB0"/>
    <w:rsid w:val="00A44B9B"/>
    <w:rsid w:val="00A660EB"/>
    <w:rsid w:val="00A67F51"/>
    <w:rsid w:val="00A80A68"/>
    <w:rsid w:val="00A86B36"/>
    <w:rsid w:val="00A92158"/>
    <w:rsid w:val="00A97410"/>
    <w:rsid w:val="00AA0126"/>
    <w:rsid w:val="00AA3927"/>
    <w:rsid w:val="00AA6D42"/>
    <w:rsid w:val="00AC1BD6"/>
    <w:rsid w:val="00AC209F"/>
    <w:rsid w:val="00AC3F95"/>
    <w:rsid w:val="00AC5490"/>
    <w:rsid w:val="00AC54BB"/>
    <w:rsid w:val="00AD1076"/>
    <w:rsid w:val="00AE0D58"/>
    <w:rsid w:val="00AE686B"/>
    <w:rsid w:val="00AF4291"/>
    <w:rsid w:val="00B026C8"/>
    <w:rsid w:val="00B1475A"/>
    <w:rsid w:val="00B156C6"/>
    <w:rsid w:val="00B21330"/>
    <w:rsid w:val="00B21344"/>
    <w:rsid w:val="00B22FE8"/>
    <w:rsid w:val="00B26B58"/>
    <w:rsid w:val="00B411B1"/>
    <w:rsid w:val="00B53525"/>
    <w:rsid w:val="00B719E4"/>
    <w:rsid w:val="00B72D49"/>
    <w:rsid w:val="00BA0533"/>
    <w:rsid w:val="00BA3EC6"/>
    <w:rsid w:val="00BA5116"/>
    <w:rsid w:val="00BA78FE"/>
    <w:rsid w:val="00BB7588"/>
    <w:rsid w:val="00BD713C"/>
    <w:rsid w:val="00BE0774"/>
    <w:rsid w:val="00BE48F0"/>
    <w:rsid w:val="00BE4F32"/>
    <w:rsid w:val="00C144AE"/>
    <w:rsid w:val="00C163C0"/>
    <w:rsid w:val="00C20205"/>
    <w:rsid w:val="00C21952"/>
    <w:rsid w:val="00C249CB"/>
    <w:rsid w:val="00C2536D"/>
    <w:rsid w:val="00C2562C"/>
    <w:rsid w:val="00C26F6D"/>
    <w:rsid w:val="00C3155A"/>
    <w:rsid w:val="00C3454E"/>
    <w:rsid w:val="00C3504F"/>
    <w:rsid w:val="00C40474"/>
    <w:rsid w:val="00C50C2C"/>
    <w:rsid w:val="00C77E9F"/>
    <w:rsid w:val="00C8398F"/>
    <w:rsid w:val="00C86683"/>
    <w:rsid w:val="00C90D1C"/>
    <w:rsid w:val="00C93A60"/>
    <w:rsid w:val="00C95320"/>
    <w:rsid w:val="00C9701E"/>
    <w:rsid w:val="00CB0EA0"/>
    <w:rsid w:val="00CD30A8"/>
    <w:rsid w:val="00CD57F8"/>
    <w:rsid w:val="00CF0606"/>
    <w:rsid w:val="00CF4236"/>
    <w:rsid w:val="00CF4E9A"/>
    <w:rsid w:val="00D01CBD"/>
    <w:rsid w:val="00D049CB"/>
    <w:rsid w:val="00D07C27"/>
    <w:rsid w:val="00D10848"/>
    <w:rsid w:val="00D10DB6"/>
    <w:rsid w:val="00D11495"/>
    <w:rsid w:val="00D12CEE"/>
    <w:rsid w:val="00D1448B"/>
    <w:rsid w:val="00D22E4A"/>
    <w:rsid w:val="00D3158D"/>
    <w:rsid w:val="00D34405"/>
    <w:rsid w:val="00D40927"/>
    <w:rsid w:val="00D41280"/>
    <w:rsid w:val="00D41B02"/>
    <w:rsid w:val="00D46C24"/>
    <w:rsid w:val="00D543D6"/>
    <w:rsid w:val="00D56760"/>
    <w:rsid w:val="00D667A4"/>
    <w:rsid w:val="00D6799D"/>
    <w:rsid w:val="00D725B5"/>
    <w:rsid w:val="00D7384E"/>
    <w:rsid w:val="00D86EA8"/>
    <w:rsid w:val="00D9442D"/>
    <w:rsid w:val="00D97BFC"/>
    <w:rsid w:val="00DA148D"/>
    <w:rsid w:val="00DA436F"/>
    <w:rsid w:val="00DB0A4C"/>
    <w:rsid w:val="00DB0B78"/>
    <w:rsid w:val="00DB6622"/>
    <w:rsid w:val="00DB6F29"/>
    <w:rsid w:val="00DE173D"/>
    <w:rsid w:val="00DE621B"/>
    <w:rsid w:val="00DF2FD4"/>
    <w:rsid w:val="00DF5B00"/>
    <w:rsid w:val="00E00260"/>
    <w:rsid w:val="00E016F8"/>
    <w:rsid w:val="00E0271A"/>
    <w:rsid w:val="00E06E56"/>
    <w:rsid w:val="00E13252"/>
    <w:rsid w:val="00E13B4B"/>
    <w:rsid w:val="00E15156"/>
    <w:rsid w:val="00E16AE4"/>
    <w:rsid w:val="00E3060B"/>
    <w:rsid w:val="00E445FE"/>
    <w:rsid w:val="00E52A32"/>
    <w:rsid w:val="00E5754C"/>
    <w:rsid w:val="00E57BDD"/>
    <w:rsid w:val="00E70B81"/>
    <w:rsid w:val="00E7196B"/>
    <w:rsid w:val="00E838B6"/>
    <w:rsid w:val="00E90B6D"/>
    <w:rsid w:val="00E9134A"/>
    <w:rsid w:val="00E93242"/>
    <w:rsid w:val="00EA3A02"/>
    <w:rsid w:val="00EA7409"/>
    <w:rsid w:val="00EB3FD2"/>
    <w:rsid w:val="00EC1F81"/>
    <w:rsid w:val="00EC3D26"/>
    <w:rsid w:val="00EC45DC"/>
    <w:rsid w:val="00ED0B4F"/>
    <w:rsid w:val="00ED1EDB"/>
    <w:rsid w:val="00EF2D04"/>
    <w:rsid w:val="00F01779"/>
    <w:rsid w:val="00F0619E"/>
    <w:rsid w:val="00F10ACB"/>
    <w:rsid w:val="00F10C43"/>
    <w:rsid w:val="00F21D6A"/>
    <w:rsid w:val="00F21D76"/>
    <w:rsid w:val="00F35CBA"/>
    <w:rsid w:val="00F4462E"/>
    <w:rsid w:val="00F46F4F"/>
    <w:rsid w:val="00F50E4C"/>
    <w:rsid w:val="00F635A2"/>
    <w:rsid w:val="00F723E5"/>
    <w:rsid w:val="00F77C52"/>
    <w:rsid w:val="00F80CBA"/>
    <w:rsid w:val="00F81B80"/>
    <w:rsid w:val="00F81B9D"/>
    <w:rsid w:val="00F84050"/>
    <w:rsid w:val="00F96D2C"/>
    <w:rsid w:val="00FC724F"/>
    <w:rsid w:val="00FE75DF"/>
    <w:rsid w:val="00FE77E2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283C4"/>
  <w15:docId w15:val="{25896A79-2620-4F32-A89F-01BA3E05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CEE"/>
    <w:rPr>
      <w:rFonts w:ascii="Calibri" w:eastAsia="Times New Roman" w:hAnsi="Calibri"/>
      <w:sz w:val="24"/>
      <w:szCs w:val="24"/>
      <w:lang w:val="en-US" w:eastAsia="en-US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D10DB6"/>
    <w:pPr>
      <w:keepNext/>
      <w:keepLines/>
      <w:ind w:right="545"/>
      <w:outlineLvl w:val="1"/>
    </w:pPr>
    <w:rPr>
      <w:b/>
      <w:color w:val="00408E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0DB6"/>
    <w:rPr>
      <w:b/>
      <w:color w:val="00408E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en-US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en-AU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4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1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2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3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3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3C0"/>
    <w:rPr>
      <w:rFonts w:ascii="Calibri" w:eastAsia="Times New Roman" w:hAnsi="Calibr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3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3C0"/>
    <w:rPr>
      <w:rFonts w:ascii="Calibri" w:eastAsia="Times New Roman" w:hAnsi="Calibr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163C0"/>
    <w:rPr>
      <w:rFonts w:ascii="Calibri" w:eastAsia="Times New Roman" w:hAnsi="Calibri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411B1"/>
    <w:pPr>
      <w:spacing w:before="100" w:beforeAutospacing="1" w:after="100" w:afterAutospacing="1"/>
    </w:pPr>
    <w:rPr>
      <w:rFonts w:ascii="Times New Roman" w:hAnsi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656C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6A85"/>
    <w:rPr>
      <w:color w:val="954F72" w:themeColor="followedHyperlink"/>
      <w:u w:val="single"/>
    </w:rPr>
  </w:style>
  <w:style w:type="paragraph" w:customStyle="1" w:styleId="Default">
    <w:name w:val="Default"/>
    <w:rsid w:val="008930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rsid w:val="008724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en/system/files/files/ccwg-acct-ws2-final-27mar18-en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munity.icann.org/pages/viewpage.action?pageId=5964328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icann.org/display/WEIA/Human+Righ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ommunity.icann.org/display/WEIA/Diversit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Users/tomwdale/Downloads/Enhancing%20ICANN%20Accountability%20FINAL%20-%20Clean%20-%20Charter%20-%20updated%203%20November%202014%20(1)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cann.org/en/system/files/correspondence/gac-to-board-09mar16-en.pdf" TargetMode="External"/><Relationship Id="rId2" Type="http://schemas.openxmlformats.org/officeDocument/2006/relationships/hyperlink" Target="https://mm.icann.org/pipermail/comments-ccwg-acct-ws2-final-30mar18/attachments/20180511/7043bf04/ICANN-WS2-2emeconsultation-Juridiction-CommentairesduGouvernementfrancais-0001.pdf" TargetMode="External"/><Relationship Id="rId1" Type="http://schemas.openxmlformats.org/officeDocument/2006/relationships/hyperlink" Target="https://mm.icann.org/pipermail/comments-ccwg-acct-ws2-final-30mar18/attachments/20180511/7043bf04/ICANN-WS2-2emeconsultation-Diversite-CommentairesduGouvernementfrancais-000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%20Lim\Dropbox%20(ACIG)\GAC%20Secretariat\Template%20-%20ACIG%20GAC%20Brief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52FA-2F6D-504A-8555-A8D26856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 Lim\Dropbox (ACIG)\GAC Secretariat\Template - ACIG GAC Briefing.dotx</Template>
  <TotalTime>102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6274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Tracey</dc:creator>
  <cp:lastModifiedBy>Tom Dale</cp:lastModifiedBy>
  <cp:revision>13</cp:revision>
  <cp:lastPrinted>2017-02-17T01:54:00Z</cp:lastPrinted>
  <dcterms:created xsi:type="dcterms:W3CDTF">2018-05-28T03:59:00Z</dcterms:created>
  <dcterms:modified xsi:type="dcterms:W3CDTF">2018-06-07T03:47:00Z</dcterms:modified>
</cp:coreProperties>
</file>